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7E5F81">
        <w:rPr>
          <w:rFonts w:ascii="黑体" w:eastAsia="黑体" w:hint="eastAsia"/>
          <w:sz w:val="30"/>
          <w:szCs w:val="30"/>
          <w:u w:val="single"/>
        </w:rPr>
        <w:t>18465</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7E5F81">
        <w:rPr>
          <w:rFonts w:hint="eastAsia"/>
          <w:szCs w:val="21"/>
          <w:u w:val="single"/>
        </w:rPr>
        <w:t>18465</w:t>
      </w:r>
      <w:r w:rsidRPr="00AC26CF">
        <w:rPr>
          <w:rFonts w:hint="eastAsia"/>
          <w:szCs w:val="21"/>
        </w:rPr>
        <w:t>期银行理财计划</w:t>
      </w:r>
      <w:r w:rsidRPr="00ED0BD8">
        <w:rPr>
          <w:rFonts w:hint="eastAsia"/>
          <w:szCs w:val="21"/>
        </w:rPr>
        <w:t>，</w:t>
      </w:r>
      <w:r>
        <w:rPr>
          <w:rFonts w:hint="eastAsia"/>
          <w:szCs w:val="21"/>
        </w:rPr>
        <w:t>投资类型属于</w:t>
      </w:r>
      <w:r w:rsidR="00952DED">
        <w:rPr>
          <w:rFonts w:hint="eastAsia"/>
          <w:szCs w:val="21"/>
          <w:u w:val="single"/>
        </w:rPr>
        <w:t>混合类理财产品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7E5F81">
        <w:rPr>
          <w:rFonts w:hint="eastAsia"/>
          <w:szCs w:val="21"/>
          <w:u w:val="single"/>
        </w:rPr>
        <w:t>364</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F84AEC">
        <w:rPr>
          <w:rFonts w:hint="eastAsia"/>
          <w:szCs w:val="21"/>
          <w:u w:val="single"/>
        </w:rPr>
        <w:t>4.7%</w:t>
      </w:r>
      <w:r w:rsidR="00C564EE">
        <w:rPr>
          <w:rFonts w:hint="eastAsia"/>
          <w:szCs w:val="21"/>
          <w:u w:val="single"/>
        </w:rPr>
        <w:t>-</w:t>
      </w:r>
      <w:r w:rsidR="007E5F81">
        <w:rPr>
          <w:rFonts w:hint="eastAsia"/>
          <w:szCs w:val="21"/>
          <w:u w:val="single"/>
        </w:rPr>
        <w:t>4.75%</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7E5F81">
        <w:rPr>
          <w:rFonts w:ascii="宋体" w:hAnsi="宋体" w:hint="eastAsia"/>
          <w:szCs w:val="21"/>
        </w:rPr>
        <w:t>18465</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7E5F81">
        <w:rPr>
          <w:rFonts w:ascii="黑体" w:eastAsia="黑体" w:hint="eastAsia"/>
          <w:bCs/>
          <w:sz w:val="30"/>
          <w:szCs w:val="30"/>
          <w:u w:val="single"/>
        </w:rPr>
        <w:t>18465</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7E5F81">
        <w:rPr>
          <w:rFonts w:hint="eastAsia"/>
          <w:sz w:val="18"/>
          <w:szCs w:val="18"/>
        </w:rPr>
        <w:t>18465</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7035B" w:rsidRDefault="00A7035B" w:rsidP="00A7035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激进型产品</w:t>
            </w:r>
          </w:p>
        </w:tc>
      </w:tr>
      <w:tr w:rsidR="00A7035B" w:rsidRPr="001B4A76" w:rsidTr="009F4841">
        <w:trPr>
          <w:trHeight w:val="44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进取型产品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平衡型产品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稳健型产品</w:t>
            </w:r>
          </w:p>
        </w:tc>
      </w:tr>
      <w:tr w:rsidR="00A7035B" w:rsidRPr="001B4A76" w:rsidTr="009F4841">
        <w:trPr>
          <w:trHeight w:val="481"/>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谨慎型产品</w:t>
            </w:r>
          </w:p>
        </w:tc>
      </w:tr>
    </w:tbl>
    <w:p w:rsidR="00A7035B" w:rsidRDefault="0078511A" w:rsidP="00A7035B">
      <w:pPr>
        <w:widowControl/>
        <w:adjustRightInd w:val="0"/>
        <w:snapToGrid w:val="0"/>
        <w:spacing w:line="300" w:lineRule="auto"/>
        <w:outlineLvl w:val="0"/>
        <w:rPr>
          <w:b/>
          <w:sz w:val="18"/>
          <w:szCs w:val="18"/>
        </w:rPr>
      </w:pPr>
      <w:r>
        <w:rPr>
          <w:b/>
          <w:noProof/>
          <w:sz w:val="18"/>
          <w:szCs w:val="18"/>
        </w:rPr>
        <w:pict>
          <v:shapetype id="_x0000_t202" coordsize="21600,21600" o:spt="202" path="m,l,21600r21600,l21600,xe">
            <v:stroke joinstyle="miter"/>
            <v:path gradientshapeok="t" o:connecttype="rect"/>
          </v:shapetype>
          <v:shape id="_x0000_s1036" type="#_x0000_t202" style="position:absolute;left:0;text-align:left;margin-left:-4.55pt;margin-top:17.3pt;width:30.7pt;height:72.15pt;z-index:251657216;mso-position-horizontal-relative:text;mso-position-vertical-relative:text" stroked="f">
            <v:textbox style="layout-flow:vertical-ideographic;mso-next-textbox:#_x0000_s1036">
              <w:txbxContent>
                <w:p w:rsidR="00A7035B" w:rsidRDefault="00DE4257" w:rsidP="00A7035B">
                  <w:r>
                    <w:rPr>
                      <w:rFonts w:hint="eastAsia"/>
                    </w:rPr>
                    <w:t>业绩比较基准</w:t>
                  </w:r>
                </w:p>
              </w:txbxContent>
            </v:textbox>
          </v:shape>
        </w:pict>
      </w:r>
      <w:r>
        <w:rPr>
          <w:b/>
          <w:sz w:val="18"/>
          <w:szCs w:val="18"/>
        </w:rPr>
      </w:r>
      <w:r>
        <w:rPr>
          <w:b/>
          <w:sz w:val="18"/>
          <w:szCs w:val="18"/>
        </w:rPr>
        <w:pict>
          <v:group id="_x0000_s1026"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98;top:9488;width:6188;height:2986" o:preferrelative="f">
              <v:fill o:detectmouseclick="t"/>
              <v:path o:extrusionok="t" o:connecttype="none"/>
              <o:lock v:ext="edit" text="t"/>
            </v:shape>
            <v:line id="_x0000_s1028" style="position:absolute" from="2252,12049" to="7706,12050">
              <v:stroke endarrow="block"/>
            </v:line>
            <v:line id="_x0000_s1029" style="position:absolute;flip:y" from="2612,9488" to="2613,12423">
              <v:stroke endarrow="block"/>
            </v:line>
            <v:rect id="_x0000_s1030" style="position:absolute;left:2791;top:11425;width:803;height:468">
              <v:textbox style="mso-next-textbox:#_x0000_s1030">
                <w:txbxContent>
                  <w:p w:rsidR="00A7035B" w:rsidRPr="002B7AF8" w:rsidRDefault="00A7035B" w:rsidP="00A7035B">
                    <w:pPr>
                      <w:ind w:firstLineChars="49" w:firstLine="89"/>
                      <w:rPr>
                        <w:b/>
                        <w:sz w:val="18"/>
                        <w:szCs w:val="18"/>
                      </w:rPr>
                    </w:pPr>
                    <w:r w:rsidRPr="002B7AF8">
                      <w:rPr>
                        <w:rFonts w:hint="eastAsia"/>
                        <w:b/>
                        <w:sz w:val="18"/>
                        <w:szCs w:val="18"/>
                      </w:rPr>
                      <w:t>PR1</w:t>
                    </w:r>
                  </w:p>
                </w:txbxContent>
              </v:textbox>
            </v:rect>
            <v:rect id="_x0000_s1031" style="position:absolute;left:3603;top:10957;width:808;height:468" fillcolor="yellow">
              <v:textbox style="mso-next-textbox:#_x0000_s1031">
                <w:txbxContent>
                  <w:p w:rsidR="00A7035B" w:rsidRPr="002B7AF8" w:rsidRDefault="00A7035B" w:rsidP="00A7035B">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32" style="position:absolute;left:4413;top:10489;width:815;height:468">
              <v:textbox style="mso-next-textbox:#_x0000_s1032">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33" style="position:absolute;left:5223;top:10021;width:823;height:468">
              <v:textbox style="mso-next-textbox:#_x0000_s1033">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34" style="position:absolute;left:6046;top:9553;width:841;height:468">
              <v:textbox style="mso-next-textbox:#_x0000_s1034">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35" style="position:absolute;left:5628;top:12088;width:2558;height:386" stroked="f">
              <v:textbox style="mso-next-textbox:#_x0000_s1035">
                <w:txbxContent>
                  <w:p w:rsidR="00A7035B" w:rsidRPr="00F4481E" w:rsidRDefault="00A7035B" w:rsidP="00A7035B">
                    <w:pPr>
                      <w:jc w:val="center"/>
                      <w:rPr>
                        <w:sz w:val="18"/>
                        <w:szCs w:val="18"/>
                      </w:rPr>
                    </w:pPr>
                    <w:r w:rsidRPr="00F4481E">
                      <w:rPr>
                        <w:rFonts w:hint="eastAsia"/>
                        <w:sz w:val="18"/>
                        <w:szCs w:val="18"/>
                      </w:rPr>
                      <w:t>风险程度</w:t>
                    </w:r>
                  </w:p>
                </w:txbxContent>
              </v:textbox>
            </v:rect>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7E5F81">
              <w:rPr>
                <w:rFonts w:hint="eastAsia"/>
                <w:sz w:val="18"/>
                <w:szCs w:val="18"/>
                <w:u w:val="single"/>
              </w:rPr>
              <w:t>18465</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7E5F81">
              <w:rPr>
                <w:rFonts w:hint="eastAsia"/>
                <w:sz w:val="18"/>
                <w:szCs w:val="18"/>
              </w:rPr>
              <w:t>18465</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rFonts w:hint="eastAsia"/>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EC0699" w:rsidRDefault="007E5F81" w:rsidP="00B75575">
            <w:pPr>
              <w:pStyle w:val="msonormalcxspmiddle"/>
              <w:adjustRightInd w:val="0"/>
              <w:snapToGrid w:val="0"/>
              <w:spacing w:before="0" w:beforeAutospacing="0" w:after="0" w:afterAutospacing="0" w:line="288" w:lineRule="auto"/>
              <w:jc w:val="center"/>
              <w:rPr>
                <w:rFonts w:hAnsi="Calibri" w:hint="eastAsia"/>
                <w:sz w:val="18"/>
                <w:szCs w:val="18"/>
                <w:lang w:val="zh-CN"/>
              </w:rPr>
            </w:pPr>
            <w:r w:rsidRPr="007E5F81">
              <w:rPr>
                <w:rFonts w:hAnsi="Calibri"/>
                <w:sz w:val="18"/>
                <w:szCs w:val="18"/>
                <w:lang w:val="zh-CN"/>
              </w:rPr>
              <w:t>C1092218000823</w:t>
            </w:r>
          </w:p>
          <w:p w:rsidR="00EC0699" w:rsidRPr="007E5E6B" w:rsidRDefault="00EC0699" w:rsidP="00B75575">
            <w:pPr>
              <w:pStyle w:val="msonormalcxspmiddle"/>
              <w:adjustRightInd w:val="0"/>
              <w:snapToGrid w:val="0"/>
              <w:spacing w:before="0" w:beforeAutospacing="0" w:after="0" w:afterAutospacing="0" w:line="288" w:lineRule="auto"/>
              <w:jc w:val="center"/>
              <w:rPr>
                <w:rFonts w:hint="eastAsia"/>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952DED"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混合类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7E5F81"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364</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lastRenderedPageBreak/>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F84AEC">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F84AEC">
              <w:rPr>
                <w:rFonts w:hint="eastAsia"/>
                <w:sz w:val="20"/>
                <w:szCs w:val="20"/>
              </w:rPr>
              <w:t>30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9B5401" w:rsidP="007E5F81">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201</w:t>
            </w:r>
            <w:r>
              <w:rPr>
                <w:rFonts w:hint="eastAsia"/>
                <w:sz w:val="18"/>
                <w:szCs w:val="18"/>
                <w:u w:val="single"/>
              </w:rPr>
              <w:t>9</w:t>
            </w:r>
            <w:r w:rsidRPr="00CE39F5">
              <w:rPr>
                <w:rFonts w:hint="eastAsia"/>
                <w:sz w:val="18"/>
                <w:szCs w:val="18"/>
                <w:u w:val="single"/>
              </w:rPr>
              <w:t>年</w:t>
            </w:r>
            <w:r>
              <w:rPr>
                <w:rFonts w:hint="eastAsia"/>
                <w:sz w:val="18"/>
                <w:szCs w:val="18"/>
                <w:u w:val="single"/>
              </w:rPr>
              <w:t>1</w:t>
            </w:r>
            <w:r w:rsidRPr="00CE39F5">
              <w:rPr>
                <w:rFonts w:hint="eastAsia"/>
                <w:sz w:val="18"/>
                <w:szCs w:val="18"/>
                <w:u w:val="single"/>
              </w:rPr>
              <w:t>月</w:t>
            </w:r>
            <w:r w:rsidR="007E5F81">
              <w:rPr>
                <w:rFonts w:hint="eastAsia"/>
                <w:sz w:val="18"/>
                <w:szCs w:val="18"/>
                <w:u w:val="single"/>
              </w:rPr>
              <w:t>7</w:t>
            </w:r>
            <w:r>
              <w:rPr>
                <w:rFonts w:hint="eastAsia"/>
                <w:sz w:val="18"/>
                <w:szCs w:val="18"/>
                <w:u w:val="single"/>
              </w:rPr>
              <w:t>日</w:t>
            </w:r>
            <w:r w:rsidR="00A7035B" w:rsidRPr="00CE39F5">
              <w:rPr>
                <w:rFonts w:hint="eastAsia"/>
                <w:sz w:val="18"/>
                <w:szCs w:val="18"/>
                <w:u w:val="single"/>
              </w:rPr>
              <w:t>至201</w:t>
            </w:r>
            <w:r w:rsidR="00F84AEC">
              <w:rPr>
                <w:rFonts w:hint="eastAsia"/>
                <w:sz w:val="18"/>
                <w:szCs w:val="18"/>
                <w:u w:val="single"/>
              </w:rPr>
              <w:t>9</w:t>
            </w:r>
            <w:r w:rsidR="00A7035B" w:rsidRPr="00CE39F5">
              <w:rPr>
                <w:rFonts w:hint="eastAsia"/>
                <w:sz w:val="18"/>
                <w:szCs w:val="18"/>
                <w:u w:val="single"/>
              </w:rPr>
              <w:t>年</w:t>
            </w:r>
            <w:r w:rsidR="00F84AEC">
              <w:rPr>
                <w:rFonts w:hint="eastAsia"/>
                <w:sz w:val="18"/>
                <w:szCs w:val="18"/>
                <w:u w:val="single"/>
              </w:rPr>
              <w:t>1</w:t>
            </w:r>
            <w:r w:rsidR="00A7035B" w:rsidRPr="00CE39F5">
              <w:rPr>
                <w:rFonts w:hint="eastAsia"/>
                <w:sz w:val="18"/>
                <w:szCs w:val="18"/>
                <w:u w:val="single"/>
              </w:rPr>
              <w:t>月</w:t>
            </w:r>
            <w:r w:rsidR="007E5F81">
              <w:rPr>
                <w:rFonts w:hint="eastAsia"/>
                <w:sz w:val="18"/>
                <w:szCs w:val="18"/>
                <w:u w:val="single"/>
              </w:rPr>
              <w:t>10</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7E5F8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F84AEC">
              <w:rPr>
                <w:rFonts w:hint="eastAsia"/>
                <w:sz w:val="18"/>
                <w:szCs w:val="18"/>
                <w:u w:val="single"/>
              </w:rPr>
              <w:t>19</w:t>
            </w:r>
            <w:r w:rsidRPr="00CE39F5">
              <w:rPr>
                <w:rFonts w:hint="eastAsia"/>
                <w:sz w:val="18"/>
                <w:szCs w:val="18"/>
                <w:u w:val="single"/>
              </w:rPr>
              <w:t>年</w:t>
            </w:r>
            <w:r w:rsidR="00F84AEC">
              <w:rPr>
                <w:rFonts w:hint="eastAsia"/>
                <w:sz w:val="18"/>
                <w:szCs w:val="18"/>
                <w:u w:val="single"/>
              </w:rPr>
              <w:t>1</w:t>
            </w:r>
            <w:r w:rsidRPr="00CE39F5">
              <w:rPr>
                <w:rFonts w:hint="eastAsia"/>
                <w:sz w:val="18"/>
                <w:szCs w:val="18"/>
                <w:u w:val="single"/>
              </w:rPr>
              <w:t>月</w:t>
            </w:r>
            <w:r w:rsidR="007E5F81">
              <w:rPr>
                <w:rFonts w:hint="eastAsia"/>
                <w:sz w:val="18"/>
                <w:szCs w:val="18"/>
                <w:u w:val="single"/>
              </w:rPr>
              <w:t>11</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F84AEC" w:rsidP="007E5F81">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2020</w:t>
            </w:r>
            <w:r w:rsidR="00A7035B" w:rsidRPr="0073035F">
              <w:rPr>
                <w:rFonts w:hint="eastAsia"/>
                <w:sz w:val="18"/>
                <w:szCs w:val="18"/>
                <w:u w:val="single"/>
              </w:rPr>
              <w:t>年</w:t>
            </w:r>
            <w:r w:rsidR="00454614">
              <w:rPr>
                <w:rFonts w:hint="eastAsia"/>
                <w:sz w:val="18"/>
                <w:szCs w:val="18"/>
                <w:u w:val="single"/>
              </w:rPr>
              <w:t>1</w:t>
            </w:r>
            <w:r w:rsidR="00A7035B" w:rsidRPr="0073035F">
              <w:rPr>
                <w:rFonts w:hint="eastAsia"/>
                <w:sz w:val="18"/>
                <w:szCs w:val="18"/>
                <w:u w:val="single"/>
              </w:rPr>
              <w:t>月</w:t>
            </w:r>
            <w:r w:rsidR="007E5F81">
              <w:rPr>
                <w:rFonts w:hint="eastAsia"/>
                <w:sz w:val="18"/>
                <w:szCs w:val="18"/>
                <w:u w:val="single"/>
              </w:rPr>
              <w:t>10</w:t>
            </w:r>
            <w:r w:rsidR="00A7035B"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hint="eastAsia"/>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76081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F84AEC">
              <w:rPr>
                <w:rFonts w:hint="eastAsia"/>
                <w:sz w:val="18"/>
                <w:szCs w:val="18"/>
              </w:rPr>
              <w:t>4.7%</w:t>
            </w:r>
            <w:r w:rsidR="00C564EE">
              <w:rPr>
                <w:rFonts w:hint="eastAsia"/>
                <w:sz w:val="18"/>
                <w:szCs w:val="18"/>
              </w:rPr>
              <w:t>-</w:t>
            </w:r>
            <w:r w:rsidR="007E5F81">
              <w:rPr>
                <w:rFonts w:hint="eastAsia"/>
                <w:sz w:val="18"/>
                <w:szCs w:val="18"/>
              </w:rPr>
              <w:t>4.75%</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1A26E0">
            <w:pPr>
              <w:pStyle w:val="msonormalcxspmiddle"/>
              <w:adjustRightInd w:val="0"/>
              <w:snapToGrid w:val="0"/>
              <w:spacing w:before="0" w:beforeAutospacing="0" w:after="0" w:afterAutospacing="0" w:line="288" w:lineRule="auto"/>
              <w:jc w:val="center"/>
              <w:rPr>
                <w:rFonts w:cs="Times New Roman" w:hint="eastAsia"/>
                <w:sz w:val="18"/>
                <w:szCs w:val="18"/>
              </w:rPr>
            </w:pPr>
            <w:r>
              <w:rPr>
                <w:rFonts w:cs="Times New Roman" w:hint="eastAsia"/>
                <w:sz w:val="18"/>
                <w:szCs w:val="18"/>
              </w:rPr>
              <w:t>分档收益区间</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Default="00481B1B" w:rsidP="006C5A41">
            <w:pPr>
              <w:pStyle w:val="msonormalcxspmiddle"/>
              <w:adjustRightInd w:val="0"/>
              <w:snapToGrid w:val="0"/>
              <w:spacing w:before="0" w:beforeAutospacing="0" w:after="0" w:afterAutospacing="0" w:line="288" w:lineRule="auto"/>
              <w:rPr>
                <w:rFonts w:hint="eastAsia"/>
                <w:sz w:val="18"/>
                <w:szCs w:val="18"/>
              </w:rPr>
            </w:pPr>
            <w:r>
              <w:rPr>
                <w:rFonts w:hint="eastAsia"/>
                <w:sz w:val="18"/>
                <w:szCs w:val="18"/>
              </w:rPr>
              <w:t>累计认购金额</w:t>
            </w:r>
            <w:r w:rsidR="006C5A41">
              <w:rPr>
                <w:rFonts w:hint="eastAsia"/>
                <w:sz w:val="18"/>
                <w:szCs w:val="18"/>
              </w:rPr>
              <w:t>1</w:t>
            </w:r>
            <w:r>
              <w:rPr>
                <w:rFonts w:hint="eastAsia"/>
                <w:sz w:val="18"/>
                <w:szCs w:val="18"/>
              </w:rPr>
              <w:t>万至50万元（不含），</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F84AEC">
              <w:rPr>
                <w:rFonts w:hint="eastAsia"/>
                <w:sz w:val="18"/>
                <w:szCs w:val="18"/>
              </w:rPr>
              <w:t>4.7%</w:t>
            </w:r>
            <w:r>
              <w:rPr>
                <w:rFonts w:hint="eastAsia"/>
                <w:sz w:val="18"/>
                <w:szCs w:val="18"/>
              </w:rPr>
              <w:t>；</w:t>
            </w:r>
            <w:r w:rsidR="00DE4802">
              <w:rPr>
                <w:rFonts w:hint="eastAsia"/>
                <w:sz w:val="18"/>
                <w:szCs w:val="18"/>
              </w:rPr>
              <w:t>累计认购金额50万</w:t>
            </w:r>
            <w:r w:rsidR="00FC12A3">
              <w:rPr>
                <w:rFonts w:hint="eastAsia"/>
                <w:sz w:val="18"/>
                <w:szCs w:val="18"/>
              </w:rPr>
              <w:t>元（含）</w:t>
            </w:r>
            <w:r>
              <w:rPr>
                <w:rFonts w:hint="eastAsia"/>
                <w:sz w:val="18"/>
                <w:szCs w:val="18"/>
              </w:rPr>
              <w:t>以上，</w:t>
            </w:r>
            <w:r w:rsidR="00455794">
              <w:rPr>
                <w:rFonts w:hint="eastAsia"/>
                <w:sz w:val="18"/>
                <w:szCs w:val="18"/>
              </w:rPr>
              <w:t>业绩比较基准（</w:t>
            </w:r>
            <w:r>
              <w:rPr>
                <w:rFonts w:hint="eastAsia"/>
                <w:sz w:val="18"/>
                <w:szCs w:val="18"/>
              </w:rPr>
              <w:t>理财年化收益率</w:t>
            </w:r>
            <w:r w:rsidR="00455794">
              <w:rPr>
                <w:rFonts w:hint="eastAsia"/>
                <w:sz w:val="18"/>
                <w:szCs w:val="18"/>
              </w:rPr>
              <w:t>）为</w:t>
            </w:r>
            <w:r w:rsidR="007E5F81">
              <w:rPr>
                <w:rFonts w:hint="eastAsia"/>
                <w:sz w:val="18"/>
                <w:szCs w:val="18"/>
              </w:rPr>
              <w:t>4.75%</w:t>
            </w:r>
            <w:r>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万元整，超过认购起点部分，应为1万元的整数倍。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hint="eastAsia"/>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hint="eastAsia"/>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D67510">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为混合类理财产品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Default="006216E0" w:rsidP="00D67510">
      <w:pPr>
        <w:adjustRightInd w:val="0"/>
        <w:snapToGrid w:val="0"/>
        <w:spacing w:line="276" w:lineRule="auto"/>
        <w:rPr>
          <w:sz w:val="18"/>
          <w:szCs w:val="18"/>
        </w:rPr>
      </w:pPr>
      <w:r>
        <w:rPr>
          <w:rFonts w:hint="eastAsia"/>
          <w:sz w:val="18"/>
          <w:szCs w:val="18"/>
        </w:rPr>
        <w:t>银行间市场和证券交易所市场债权性资产：</w:t>
      </w:r>
      <w:r>
        <w:rPr>
          <w:sz w:val="18"/>
          <w:szCs w:val="18"/>
        </w:rPr>
        <w:t>5%-95%</w:t>
      </w:r>
      <w:r>
        <w:rPr>
          <w:rFonts w:hint="eastAsia"/>
          <w:sz w:val="18"/>
          <w:szCs w:val="18"/>
        </w:rPr>
        <w:t>，包括但不限于国债、金融债、央票、企业债、中期债券以及短期融资券、债券回购、同业存放等投资标的；</w:t>
      </w:r>
    </w:p>
    <w:p w:rsidR="006216E0" w:rsidRDefault="006216E0" w:rsidP="00D67510">
      <w:pPr>
        <w:adjustRightInd w:val="0"/>
        <w:snapToGrid w:val="0"/>
        <w:spacing w:line="276" w:lineRule="auto"/>
        <w:rPr>
          <w:sz w:val="18"/>
          <w:szCs w:val="18"/>
        </w:rPr>
      </w:pPr>
      <w:r>
        <w:rPr>
          <w:rFonts w:hint="eastAsia"/>
          <w:sz w:val="18"/>
          <w:szCs w:val="18"/>
        </w:rPr>
        <w:t>固定收益类非标准化债权资产：</w:t>
      </w:r>
      <w:r>
        <w:rPr>
          <w:sz w:val="18"/>
          <w:szCs w:val="18"/>
        </w:rPr>
        <w:t>0-90%</w:t>
      </w:r>
      <w:r>
        <w:rPr>
          <w:rFonts w:hint="eastAsia"/>
          <w:sz w:val="18"/>
          <w:szCs w:val="18"/>
        </w:rPr>
        <w:t>，指未在银行间市场及证券交易所市场交易的债权性资产，包括但不限于信托贷款、委托债权、承兑汇票、各类受（收）益权等投资标的。</w:t>
      </w:r>
    </w:p>
    <w:p w:rsidR="006216E0" w:rsidRDefault="006216E0" w:rsidP="00D67510">
      <w:pPr>
        <w:adjustRightInd w:val="0"/>
        <w:snapToGrid w:val="0"/>
        <w:spacing w:line="276" w:lineRule="auto"/>
        <w:rPr>
          <w:sz w:val="18"/>
          <w:szCs w:val="18"/>
        </w:rPr>
      </w:pPr>
      <w:r>
        <w:rPr>
          <w:rFonts w:hint="eastAsia"/>
          <w:sz w:val="18"/>
          <w:szCs w:val="18"/>
        </w:rPr>
        <w:t>现金类资产：</w:t>
      </w:r>
      <w:r>
        <w:rPr>
          <w:sz w:val="18"/>
          <w:szCs w:val="18"/>
        </w:rPr>
        <w:t>5%-95%</w:t>
      </w:r>
      <w:r>
        <w:rPr>
          <w:rFonts w:hint="eastAsia"/>
          <w:sz w:val="18"/>
          <w:szCs w:val="18"/>
        </w:rPr>
        <w:t>，指银行活期存款及货币市场类工具。</w:t>
      </w:r>
    </w:p>
    <w:p w:rsidR="00171FAA" w:rsidRDefault="00171FAA" w:rsidP="00171FAA">
      <w:pPr>
        <w:adjustRightInd w:val="0"/>
        <w:snapToGrid w:val="0"/>
        <w:spacing w:line="276" w:lineRule="auto"/>
        <w:rPr>
          <w:sz w:val="18"/>
          <w:szCs w:val="18"/>
        </w:rPr>
      </w:pPr>
      <w:r>
        <w:rPr>
          <w:rFonts w:ascii="宋体" w:hAnsi="Calibri" w:cs="宋体" w:hint="eastAsia"/>
          <w:kern w:val="0"/>
          <w:sz w:val="18"/>
          <w:szCs w:val="18"/>
          <w:lang w:val="zh-CN"/>
        </w:rPr>
        <w:t>权益类资产：0-80%，包括但不限于股票、证券投资基金、未上市股权等投资标的。</w:t>
      </w:r>
    </w:p>
    <w:p w:rsidR="006216E0" w:rsidRDefault="006216E0" w:rsidP="00D67510">
      <w:pPr>
        <w:adjustRightInd w:val="0"/>
        <w:snapToGrid w:val="0"/>
        <w:spacing w:line="276" w:lineRule="auto"/>
        <w:rPr>
          <w:sz w:val="18"/>
          <w:szCs w:val="18"/>
        </w:rPr>
      </w:pPr>
      <w:r>
        <w:rPr>
          <w:rFonts w:hint="eastAsia"/>
          <w:sz w:val="18"/>
          <w:szCs w:val="18"/>
        </w:rPr>
        <w:t>其他符合监管规定的具有固定收益性质的投资品种：</w:t>
      </w:r>
      <w:r>
        <w:rPr>
          <w:sz w:val="18"/>
          <w:szCs w:val="18"/>
        </w:rPr>
        <w:t>0-90%</w:t>
      </w:r>
      <w:r>
        <w:rPr>
          <w:rFonts w:hint="eastAsia"/>
          <w:sz w:val="18"/>
          <w:szCs w:val="18"/>
        </w:rPr>
        <w:t>。</w:t>
      </w:r>
    </w:p>
    <w:p w:rsidR="006216E0" w:rsidRDefault="006216E0" w:rsidP="00D67510">
      <w:pPr>
        <w:adjustRightInd w:val="0"/>
        <w:snapToGrid w:val="0"/>
        <w:spacing w:line="276" w:lineRule="auto"/>
        <w:rPr>
          <w:sz w:val="18"/>
          <w:szCs w:val="18"/>
        </w:rPr>
      </w:pPr>
      <w:r>
        <w:rPr>
          <w:rFonts w:hint="eastAsia"/>
          <w:sz w:val="18"/>
          <w:szCs w:val="18"/>
        </w:rPr>
        <w:t>上述各类资产的投资比例可在（–</w:t>
      </w:r>
      <w:r>
        <w:rPr>
          <w:sz w:val="18"/>
          <w:szCs w:val="18"/>
        </w:rPr>
        <w:t>10%</w:t>
      </w:r>
      <w:r>
        <w:rPr>
          <w:rFonts w:hint="eastAsia"/>
          <w:sz w:val="18"/>
          <w:szCs w:val="18"/>
        </w:rPr>
        <w:t>，</w:t>
      </w:r>
      <w:r>
        <w:rPr>
          <w:sz w:val="18"/>
          <w:szCs w:val="18"/>
        </w:rPr>
        <w:t>+10%</w:t>
      </w:r>
      <w:r>
        <w:rPr>
          <w:rFonts w:hint="eastAsia"/>
          <w:sz w:val="18"/>
          <w:szCs w:val="18"/>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w:t>
      </w:r>
      <w:r w:rsidR="00A7035B" w:rsidRPr="0036639A">
        <w:rPr>
          <w:rFonts w:hint="eastAsia"/>
          <w:sz w:val="18"/>
          <w:szCs w:val="18"/>
        </w:rPr>
        <w:lastRenderedPageBreak/>
        <w:t>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F84AEC">
        <w:rPr>
          <w:rFonts w:hint="eastAsia"/>
          <w:sz w:val="18"/>
          <w:szCs w:val="18"/>
        </w:rPr>
        <w:t>4.7%</w:t>
      </w:r>
      <w:r w:rsidR="00C564EE">
        <w:rPr>
          <w:rFonts w:hint="eastAsia"/>
          <w:sz w:val="18"/>
          <w:szCs w:val="18"/>
        </w:rPr>
        <w:t>-</w:t>
      </w:r>
      <w:r w:rsidR="007E5F81">
        <w:rPr>
          <w:rFonts w:hint="eastAsia"/>
          <w:sz w:val="18"/>
          <w:szCs w:val="18"/>
        </w:rPr>
        <w:t>4.75%</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05385C">
        <w:rPr>
          <w:rFonts w:hint="eastAsia"/>
          <w:sz w:val="18"/>
          <w:szCs w:val="18"/>
        </w:rPr>
        <w:t>4.</w:t>
      </w:r>
      <w:r w:rsidR="007E5F81">
        <w:rPr>
          <w:rFonts w:hint="eastAsia"/>
          <w:sz w:val="18"/>
          <w:szCs w:val="18"/>
        </w:rPr>
        <w:t>85</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累计认购金额区间在</w:t>
      </w:r>
      <w:r w:rsidR="006C5A41">
        <w:rPr>
          <w:rFonts w:hint="eastAsia"/>
          <w:sz w:val="18"/>
          <w:szCs w:val="18"/>
        </w:rPr>
        <w:t>1</w:t>
      </w:r>
      <w:r>
        <w:rPr>
          <w:rFonts w:hint="eastAsia"/>
          <w:sz w:val="18"/>
          <w:szCs w:val="18"/>
        </w:rPr>
        <w:t>万至</w:t>
      </w:r>
      <w:r>
        <w:rPr>
          <w:rFonts w:hint="eastAsia"/>
          <w:sz w:val="18"/>
          <w:szCs w:val="18"/>
        </w:rPr>
        <w:t>50</w:t>
      </w:r>
      <w:r>
        <w:rPr>
          <w:rFonts w:hint="eastAsia"/>
          <w:sz w:val="18"/>
          <w:szCs w:val="18"/>
        </w:rPr>
        <w:t>万（不含）之内的，本产品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F84AEC">
        <w:rPr>
          <w:rFonts w:hint="eastAsia"/>
          <w:sz w:val="18"/>
          <w:szCs w:val="18"/>
        </w:rPr>
        <w:t>4.7%</w:t>
      </w:r>
      <w:r>
        <w:rPr>
          <w:rFonts w:hint="eastAsia"/>
          <w:sz w:val="18"/>
          <w:szCs w:val="18"/>
        </w:rPr>
        <w:t>；</w:t>
      </w:r>
      <w:r w:rsidR="00DE4802">
        <w:rPr>
          <w:rFonts w:hint="eastAsia"/>
          <w:sz w:val="18"/>
          <w:szCs w:val="18"/>
        </w:rPr>
        <w:t>累计认购金额区间在</w:t>
      </w:r>
      <w:r w:rsidR="00DE4802">
        <w:rPr>
          <w:rFonts w:hint="eastAsia"/>
          <w:sz w:val="18"/>
          <w:szCs w:val="18"/>
        </w:rPr>
        <w:t>50</w:t>
      </w:r>
      <w:r w:rsidR="00DE4802">
        <w:rPr>
          <w:rFonts w:hint="eastAsia"/>
          <w:sz w:val="18"/>
          <w:szCs w:val="18"/>
        </w:rPr>
        <w:t>万</w:t>
      </w:r>
      <w:r>
        <w:rPr>
          <w:rFonts w:hint="eastAsia"/>
          <w:sz w:val="18"/>
          <w:szCs w:val="18"/>
        </w:rPr>
        <w:t>（含）以上的，本产品</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Pr>
          <w:rFonts w:hint="eastAsia"/>
          <w:sz w:val="18"/>
          <w:szCs w:val="18"/>
        </w:rPr>
        <w:t>为</w:t>
      </w:r>
      <w:r w:rsidR="007E5F81">
        <w:rPr>
          <w:rFonts w:hint="eastAsia"/>
          <w:sz w:val="18"/>
          <w:szCs w:val="18"/>
        </w:rPr>
        <w:t>4.75%</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F84AEC">
        <w:rPr>
          <w:rFonts w:hint="eastAsia"/>
          <w:sz w:val="18"/>
          <w:szCs w:val="18"/>
        </w:rPr>
        <w:t>4.7%</w:t>
      </w:r>
      <w:r w:rsidR="003375CD" w:rsidRPr="00664EB0">
        <w:rPr>
          <w:rFonts w:hint="eastAsia"/>
          <w:sz w:val="18"/>
          <w:szCs w:val="18"/>
        </w:rPr>
        <w:t>，</w:t>
      </w:r>
      <w:r w:rsidRPr="00664EB0">
        <w:rPr>
          <w:rFonts w:hint="eastAsia"/>
          <w:sz w:val="18"/>
          <w:szCs w:val="18"/>
        </w:rPr>
        <w:t>实际理财天数</w:t>
      </w:r>
      <w:r w:rsidR="007E5F81">
        <w:rPr>
          <w:rFonts w:hint="eastAsia"/>
          <w:sz w:val="18"/>
          <w:szCs w:val="18"/>
        </w:rPr>
        <w:t>364</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F84AEC">
        <w:rPr>
          <w:rFonts w:hint="eastAsia"/>
          <w:sz w:val="18"/>
          <w:szCs w:val="18"/>
        </w:rPr>
        <w:t>4.7%</w:t>
      </w:r>
      <w:r w:rsidRPr="00664EB0">
        <w:rPr>
          <w:rFonts w:hint="eastAsia"/>
          <w:sz w:val="18"/>
          <w:szCs w:val="18"/>
        </w:rPr>
        <w:t>×</w:t>
      </w:r>
      <w:r w:rsidR="007E5F81">
        <w:rPr>
          <w:rFonts w:hint="eastAsia"/>
          <w:sz w:val="18"/>
          <w:szCs w:val="18"/>
        </w:rPr>
        <w:t>364</w:t>
      </w:r>
      <w:r w:rsidRPr="00664EB0">
        <w:rPr>
          <w:rFonts w:hint="eastAsia"/>
          <w:sz w:val="18"/>
          <w:szCs w:val="18"/>
        </w:rPr>
        <w:t>÷</w:t>
      </w:r>
      <w:r>
        <w:rPr>
          <w:sz w:val="18"/>
          <w:szCs w:val="18"/>
        </w:rPr>
        <w:t>36</w:t>
      </w:r>
      <w:r>
        <w:rPr>
          <w:rFonts w:hint="eastAsia"/>
          <w:sz w:val="18"/>
          <w:szCs w:val="18"/>
        </w:rPr>
        <w:t>5=</w:t>
      </w:r>
      <w:r w:rsidR="007E5F81">
        <w:rPr>
          <w:rFonts w:hint="eastAsia"/>
          <w:sz w:val="18"/>
          <w:szCs w:val="18"/>
        </w:rPr>
        <w:t>468.71</w:t>
      </w:r>
      <w:r>
        <w:rPr>
          <w:rFonts w:hint="eastAsia"/>
          <w:sz w:val="18"/>
          <w:szCs w:val="18"/>
        </w:rPr>
        <w:t>元。（</w:t>
      </w:r>
      <w:r w:rsidRPr="00664EB0">
        <w:rPr>
          <w:rFonts w:hint="eastAsia"/>
          <w:sz w:val="18"/>
          <w:szCs w:val="18"/>
        </w:rPr>
        <w:t>上述示例采用假设数据计算，并不代表投资者实际可获得的理财收益。）</w:t>
      </w:r>
    </w:p>
    <w:p w:rsidR="00DE4802" w:rsidRPr="00664EB0" w:rsidRDefault="00DE4802" w:rsidP="00DE4802">
      <w:pPr>
        <w:adjustRightInd w:val="0"/>
        <w:snapToGrid w:val="0"/>
        <w:spacing w:line="276" w:lineRule="auto"/>
        <w:rPr>
          <w:sz w:val="18"/>
          <w:szCs w:val="18"/>
        </w:rPr>
      </w:pPr>
      <w:r w:rsidRPr="00664EB0">
        <w:rPr>
          <w:rFonts w:hint="eastAsia"/>
          <w:sz w:val="18"/>
          <w:szCs w:val="18"/>
        </w:rPr>
        <w:t>假定投资者认购本产品</w:t>
      </w:r>
      <w:r>
        <w:rPr>
          <w:rFonts w:hint="eastAsia"/>
          <w:sz w:val="18"/>
          <w:szCs w:val="18"/>
        </w:rPr>
        <w:t>50</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7E5F81">
        <w:rPr>
          <w:rFonts w:hint="eastAsia"/>
          <w:sz w:val="18"/>
          <w:szCs w:val="18"/>
        </w:rPr>
        <w:t>4.75%</w:t>
      </w:r>
      <w:r w:rsidRPr="00664EB0">
        <w:rPr>
          <w:rFonts w:hint="eastAsia"/>
          <w:sz w:val="18"/>
          <w:szCs w:val="18"/>
        </w:rPr>
        <w:t>，实际理财天数</w:t>
      </w:r>
      <w:r w:rsidR="007E5F81">
        <w:rPr>
          <w:rFonts w:hint="eastAsia"/>
          <w:sz w:val="18"/>
          <w:szCs w:val="18"/>
        </w:rPr>
        <w:t>364</w:t>
      </w:r>
      <w:r w:rsidRPr="00664EB0">
        <w:rPr>
          <w:rFonts w:hint="eastAsia"/>
          <w:sz w:val="18"/>
          <w:szCs w:val="18"/>
        </w:rPr>
        <w:t>天，则投资者理财收益为</w:t>
      </w:r>
      <w:r>
        <w:rPr>
          <w:rFonts w:hint="eastAsia"/>
          <w:sz w:val="18"/>
          <w:szCs w:val="18"/>
        </w:rPr>
        <w:t>500</w:t>
      </w:r>
      <w:r w:rsidRPr="00664EB0">
        <w:rPr>
          <w:sz w:val="18"/>
          <w:szCs w:val="18"/>
        </w:rPr>
        <w:t>000</w:t>
      </w:r>
      <w:r w:rsidRPr="00664EB0">
        <w:rPr>
          <w:rFonts w:hint="eastAsia"/>
          <w:sz w:val="18"/>
          <w:szCs w:val="18"/>
        </w:rPr>
        <w:t>×</w:t>
      </w:r>
      <w:r w:rsidR="007E5F81">
        <w:rPr>
          <w:rFonts w:hint="eastAsia"/>
          <w:sz w:val="18"/>
          <w:szCs w:val="18"/>
        </w:rPr>
        <w:t>4.75%</w:t>
      </w:r>
      <w:r w:rsidRPr="00664EB0">
        <w:rPr>
          <w:rFonts w:hint="eastAsia"/>
          <w:sz w:val="18"/>
          <w:szCs w:val="18"/>
        </w:rPr>
        <w:t>×</w:t>
      </w:r>
      <w:r w:rsidR="007E5F81">
        <w:rPr>
          <w:rFonts w:hint="eastAsia"/>
          <w:sz w:val="18"/>
          <w:szCs w:val="18"/>
        </w:rPr>
        <w:t>364</w:t>
      </w:r>
      <w:r w:rsidRPr="00664EB0">
        <w:rPr>
          <w:rFonts w:hint="eastAsia"/>
          <w:sz w:val="18"/>
          <w:szCs w:val="18"/>
        </w:rPr>
        <w:t>÷</w:t>
      </w:r>
      <w:r>
        <w:rPr>
          <w:sz w:val="18"/>
          <w:szCs w:val="18"/>
        </w:rPr>
        <w:t>36</w:t>
      </w:r>
      <w:r>
        <w:rPr>
          <w:rFonts w:hint="eastAsia"/>
          <w:sz w:val="18"/>
          <w:szCs w:val="18"/>
        </w:rPr>
        <w:t>5=</w:t>
      </w:r>
      <w:r w:rsidR="007E5F81">
        <w:rPr>
          <w:rFonts w:hint="eastAsia"/>
          <w:sz w:val="18"/>
          <w:szCs w:val="18"/>
        </w:rPr>
        <w:t>23684.93</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lastRenderedPageBreak/>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、温州银行如在特定情况下提前终止本产品，将于实际终止日提前至少</w:t>
      </w:r>
      <w:r w:rsidRPr="00664EB0">
        <w:rPr>
          <w:sz w:val="18"/>
          <w:szCs w:val="18"/>
        </w:rPr>
        <w:t>1</w:t>
      </w:r>
      <w:r w:rsidRPr="00664EB0">
        <w:rPr>
          <w:rFonts w:hint="eastAsia"/>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rFonts w:hint="eastAsia"/>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hint="eastAsia"/>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11E8" w:rsidRDefault="001111E8" w:rsidP="00A7035B">
      <w:r>
        <w:separator/>
      </w:r>
    </w:p>
  </w:endnote>
  <w:endnote w:type="continuationSeparator" w:id="1">
    <w:p w:rsidR="001111E8" w:rsidRDefault="001111E8"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rPr>
        <w:rFonts w:hint="eastAsia"/>
        <w:lang w:eastAsia="zh-CN"/>
      </w:rPr>
    </w:pPr>
    <w:r>
      <w:rPr>
        <w:lang w:val="zh-CN"/>
      </w:rPr>
      <w:t xml:space="preserve"> </w:t>
    </w:r>
    <w:r w:rsidR="0078511A">
      <w:rPr>
        <w:b/>
        <w:sz w:val="24"/>
        <w:szCs w:val="24"/>
      </w:rPr>
      <w:fldChar w:fldCharType="begin"/>
    </w:r>
    <w:r>
      <w:rPr>
        <w:b/>
      </w:rPr>
      <w:instrText>PAGE</w:instrText>
    </w:r>
    <w:r w:rsidR="0078511A">
      <w:rPr>
        <w:b/>
        <w:sz w:val="24"/>
        <w:szCs w:val="24"/>
      </w:rPr>
      <w:fldChar w:fldCharType="separate"/>
    </w:r>
    <w:r w:rsidR="007E5F81">
      <w:rPr>
        <w:b/>
        <w:noProof/>
      </w:rPr>
      <w:t>1</w:t>
    </w:r>
    <w:r w:rsidR="0078511A">
      <w:rPr>
        <w:b/>
        <w:sz w:val="24"/>
        <w:szCs w:val="24"/>
      </w:rPr>
      <w:fldChar w:fldCharType="end"/>
    </w:r>
    <w:r>
      <w:rPr>
        <w:lang w:val="zh-CN"/>
      </w:rPr>
      <w:t xml:space="preserve"> / </w:t>
    </w:r>
    <w:r w:rsidR="0078511A">
      <w:rPr>
        <w:b/>
        <w:sz w:val="24"/>
        <w:szCs w:val="24"/>
      </w:rPr>
      <w:fldChar w:fldCharType="begin"/>
    </w:r>
    <w:r>
      <w:rPr>
        <w:b/>
      </w:rPr>
      <w:instrText>NUMPAGES</w:instrText>
    </w:r>
    <w:r w:rsidR="0078511A">
      <w:rPr>
        <w:b/>
        <w:sz w:val="24"/>
        <w:szCs w:val="24"/>
      </w:rPr>
      <w:fldChar w:fldCharType="separate"/>
    </w:r>
    <w:r w:rsidR="007E5F81">
      <w:rPr>
        <w:b/>
        <w:noProof/>
      </w:rPr>
      <w:t>5</w:t>
    </w:r>
    <w:r w:rsidR="0078511A">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11E8" w:rsidRDefault="001111E8" w:rsidP="00A7035B">
      <w:r>
        <w:separator/>
      </w:r>
    </w:p>
  </w:footnote>
  <w:footnote w:type="continuationSeparator" w:id="1">
    <w:p w:rsidR="001111E8" w:rsidRDefault="001111E8"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snAvS6gHTzw6PYWDbTCRU8I95wg=" w:salt="Zv+LSLsO6y/EJLHcOsAr5A=="/>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7CA"/>
    <w:rsid w:val="00021F24"/>
    <w:rsid w:val="000234FC"/>
    <w:rsid w:val="000242CD"/>
    <w:rsid w:val="00024300"/>
    <w:rsid w:val="00025A4A"/>
    <w:rsid w:val="00025C46"/>
    <w:rsid w:val="0002614D"/>
    <w:rsid w:val="0003228F"/>
    <w:rsid w:val="00032575"/>
    <w:rsid w:val="00032CD3"/>
    <w:rsid w:val="00033E32"/>
    <w:rsid w:val="000340C6"/>
    <w:rsid w:val="00036404"/>
    <w:rsid w:val="00037CB4"/>
    <w:rsid w:val="00041662"/>
    <w:rsid w:val="00042917"/>
    <w:rsid w:val="00044960"/>
    <w:rsid w:val="0005317E"/>
    <w:rsid w:val="0005385C"/>
    <w:rsid w:val="00053FB7"/>
    <w:rsid w:val="00056129"/>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90C53"/>
    <w:rsid w:val="000946BE"/>
    <w:rsid w:val="00094B32"/>
    <w:rsid w:val="00095172"/>
    <w:rsid w:val="000A0655"/>
    <w:rsid w:val="000A1989"/>
    <w:rsid w:val="000A3531"/>
    <w:rsid w:val="000A7313"/>
    <w:rsid w:val="000B11B7"/>
    <w:rsid w:val="000B361B"/>
    <w:rsid w:val="000C059A"/>
    <w:rsid w:val="000C2C6F"/>
    <w:rsid w:val="000C30E4"/>
    <w:rsid w:val="000C6D96"/>
    <w:rsid w:val="000C747C"/>
    <w:rsid w:val="000D1986"/>
    <w:rsid w:val="000D2837"/>
    <w:rsid w:val="000D487F"/>
    <w:rsid w:val="000D7EB3"/>
    <w:rsid w:val="000E1A65"/>
    <w:rsid w:val="000E2421"/>
    <w:rsid w:val="000E3BEB"/>
    <w:rsid w:val="000E550A"/>
    <w:rsid w:val="000E5C51"/>
    <w:rsid w:val="000F0B9E"/>
    <w:rsid w:val="000F301A"/>
    <w:rsid w:val="00100EB8"/>
    <w:rsid w:val="00101FEA"/>
    <w:rsid w:val="0010459E"/>
    <w:rsid w:val="0010543A"/>
    <w:rsid w:val="00106825"/>
    <w:rsid w:val="001068C7"/>
    <w:rsid w:val="001111E8"/>
    <w:rsid w:val="00115F4F"/>
    <w:rsid w:val="00116F18"/>
    <w:rsid w:val="00123471"/>
    <w:rsid w:val="00124E16"/>
    <w:rsid w:val="001302B3"/>
    <w:rsid w:val="00131328"/>
    <w:rsid w:val="001330FC"/>
    <w:rsid w:val="001343FC"/>
    <w:rsid w:val="001362F6"/>
    <w:rsid w:val="00136C31"/>
    <w:rsid w:val="001410E6"/>
    <w:rsid w:val="001414B2"/>
    <w:rsid w:val="00143609"/>
    <w:rsid w:val="00145E78"/>
    <w:rsid w:val="00153634"/>
    <w:rsid w:val="001544AA"/>
    <w:rsid w:val="001547B0"/>
    <w:rsid w:val="00164680"/>
    <w:rsid w:val="001648F8"/>
    <w:rsid w:val="00164CDF"/>
    <w:rsid w:val="00164FD6"/>
    <w:rsid w:val="00170535"/>
    <w:rsid w:val="00171FAA"/>
    <w:rsid w:val="0017307C"/>
    <w:rsid w:val="00173886"/>
    <w:rsid w:val="001802CC"/>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75F7"/>
    <w:rsid w:val="001E26E9"/>
    <w:rsid w:val="001E33D1"/>
    <w:rsid w:val="001E3951"/>
    <w:rsid w:val="001E4C55"/>
    <w:rsid w:val="001E4CEF"/>
    <w:rsid w:val="001F1FBB"/>
    <w:rsid w:val="001F21D9"/>
    <w:rsid w:val="001F4B00"/>
    <w:rsid w:val="001F69F5"/>
    <w:rsid w:val="001F6A4C"/>
    <w:rsid w:val="001F7409"/>
    <w:rsid w:val="00202ADE"/>
    <w:rsid w:val="002044F4"/>
    <w:rsid w:val="002048AF"/>
    <w:rsid w:val="0020567A"/>
    <w:rsid w:val="00205980"/>
    <w:rsid w:val="00210216"/>
    <w:rsid w:val="00210CA3"/>
    <w:rsid w:val="00213219"/>
    <w:rsid w:val="0021614A"/>
    <w:rsid w:val="00221060"/>
    <w:rsid w:val="00221C9E"/>
    <w:rsid w:val="00222758"/>
    <w:rsid w:val="002239B9"/>
    <w:rsid w:val="00224AD0"/>
    <w:rsid w:val="00224D5D"/>
    <w:rsid w:val="00227A62"/>
    <w:rsid w:val="002372B2"/>
    <w:rsid w:val="00241399"/>
    <w:rsid w:val="00242303"/>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E42"/>
    <w:rsid w:val="00292DC2"/>
    <w:rsid w:val="002935A9"/>
    <w:rsid w:val="0029644C"/>
    <w:rsid w:val="00296B1E"/>
    <w:rsid w:val="00297013"/>
    <w:rsid w:val="002A4C90"/>
    <w:rsid w:val="002A6B6A"/>
    <w:rsid w:val="002A72B2"/>
    <w:rsid w:val="002A7E39"/>
    <w:rsid w:val="002B07AE"/>
    <w:rsid w:val="002B0F7E"/>
    <w:rsid w:val="002B1174"/>
    <w:rsid w:val="002B44E3"/>
    <w:rsid w:val="002C1330"/>
    <w:rsid w:val="002D071A"/>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438"/>
    <w:rsid w:val="00323182"/>
    <w:rsid w:val="00334F3D"/>
    <w:rsid w:val="003375CD"/>
    <w:rsid w:val="003406A9"/>
    <w:rsid w:val="00341295"/>
    <w:rsid w:val="0035409F"/>
    <w:rsid w:val="00354DA6"/>
    <w:rsid w:val="00355FA6"/>
    <w:rsid w:val="0036162F"/>
    <w:rsid w:val="0036288A"/>
    <w:rsid w:val="00370205"/>
    <w:rsid w:val="00372D32"/>
    <w:rsid w:val="00374985"/>
    <w:rsid w:val="003807F4"/>
    <w:rsid w:val="00385631"/>
    <w:rsid w:val="0038631C"/>
    <w:rsid w:val="003871C3"/>
    <w:rsid w:val="00387BF5"/>
    <w:rsid w:val="00387C3A"/>
    <w:rsid w:val="00391439"/>
    <w:rsid w:val="00396B46"/>
    <w:rsid w:val="00396D62"/>
    <w:rsid w:val="003A243E"/>
    <w:rsid w:val="003A2991"/>
    <w:rsid w:val="003A7EBD"/>
    <w:rsid w:val="003B0720"/>
    <w:rsid w:val="003B222A"/>
    <w:rsid w:val="003B4DB2"/>
    <w:rsid w:val="003B7871"/>
    <w:rsid w:val="003C6EEA"/>
    <w:rsid w:val="003C73CD"/>
    <w:rsid w:val="003C770C"/>
    <w:rsid w:val="003C7C22"/>
    <w:rsid w:val="003D34FC"/>
    <w:rsid w:val="003D43DC"/>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213B"/>
    <w:rsid w:val="00432A93"/>
    <w:rsid w:val="00434436"/>
    <w:rsid w:val="00435E98"/>
    <w:rsid w:val="00437B03"/>
    <w:rsid w:val="00437D0C"/>
    <w:rsid w:val="00441CD5"/>
    <w:rsid w:val="0044256E"/>
    <w:rsid w:val="00442A4E"/>
    <w:rsid w:val="00443D46"/>
    <w:rsid w:val="00445D22"/>
    <w:rsid w:val="0045016E"/>
    <w:rsid w:val="00452158"/>
    <w:rsid w:val="0045305F"/>
    <w:rsid w:val="00453118"/>
    <w:rsid w:val="004538A4"/>
    <w:rsid w:val="00453AED"/>
    <w:rsid w:val="00454614"/>
    <w:rsid w:val="00455794"/>
    <w:rsid w:val="00455E2D"/>
    <w:rsid w:val="0046701A"/>
    <w:rsid w:val="00467108"/>
    <w:rsid w:val="00474112"/>
    <w:rsid w:val="004752AD"/>
    <w:rsid w:val="00476916"/>
    <w:rsid w:val="00481B1B"/>
    <w:rsid w:val="00482A51"/>
    <w:rsid w:val="004856DA"/>
    <w:rsid w:val="0048644D"/>
    <w:rsid w:val="00487E04"/>
    <w:rsid w:val="004929EC"/>
    <w:rsid w:val="00493122"/>
    <w:rsid w:val="004A0BEA"/>
    <w:rsid w:val="004A1DF0"/>
    <w:rsid w:val="004A6841"/>
    <w:rsid w:val="004A79CF"/>
    <w:rsid w:val="004B0644"/>
    <w:rsid w:val="004B1638"/>
    <w:rsid w:val="004B2BED"/>
    <w:rsid w:val="004B36E7"/>
    <w:rsid w:val="004C0652"/>
    <w:rsid w:val="004C07EA"/>
    <w:rsid w:val="004C122D"/>
    <w:rsid w:val="004C318F"/>
    <w:rsid w:val="004C45AA"/>
    <w:rsid w:val="004C5D67"/>
    <w:rsid w:val="004C6973"/>
    <w:rsid w:val="004D01A7"/>
    <w:rsid w:val="004D1772"/>
    <w:rsid w:val="004D3465"/>
    <w:rsid w:val="004D6CF2"/>
    <w:rsid w:val="004E1967"/>
    <w:rsid w:val="004E20EA"/>
    <w:rsid w:val="004E61E9"/>
    <w:rsid w:val="004F0ED2"/>
    <w:rsid w:val="004F3B4B"/>
    <w:rsid w:val="004F3B83"/>
    <w:rsid w:val="004F4AAE"/>
    <w:rsid w:val="00500D6A"/>
    <w:rsid w:val="00506249"/>
    <w:rsid w:val="00506FD1"/>
    <w:rsid w:val="0051004A"/>
    <w:rsid w:val="0051275B"/>
    <w:rsid w:val="00520017"/>
    <w:rsid w:val="005219D2"/>
    <w:rsid w:val="00522891"/>
    <w:rsid w:val="00522FF7"/>
    <w:rsid w:val="00523290"/>
    <w:rsid w:val="00524988"/>
    <w:rsid w:val="00525F9F"/>
    <w:rsid w:val="00526EEB"/>
    <w:rsid w:val="00530E89"/>
    <w:rsid w:val="00532C21"/>
    <w:rsid w:val="00535BA8"/>
    <w:rsid w:val="00535D46"/>
    <w:rsid w:val="005371B9"/>
    <w:rsid w:val="00540509"/>
    <w:rsid w:val="00541E39"/>
    <w:rsid w:val="00544900"/>
    <w:rsid w:val="0054578C"/>
    <w:rsid w:val="00545A1E"/>
    <w:rsid w:val="005511D5"/>
    <w:rsid w:val="0055671B"/>
    <w:rsid w:val="00557532"/>
    <w:rsid w:val="00560925"/>
    <w:rsid w:val="00560A63"/>
    <w:rsid w:val="00560B37"/>
    <w:rsid w:val="005615C9"/>
    <w:rsid w:val="00561D56"/>
    <w:rsid w:val="00561EBC"/>
    <w:rsid w:val="005623A7"/>
    <w:rsid w:val="0056332F"/>
    <w:rsid w:val="0056461D"/>
    <w:rsid w:val="005654F4"/>
    <w:rsid w:val="00565AC2"/>
    <w:rsid w:val="00574978"/>
    <w:rsid w:val="005756E2"/>
    <w:rsid w:val="005770E3"/>
    <w:rsid w:val="00581E04"/>
    <w:rsid w:val="00582D66"/>
    <w:rsid w:val="00585D28"/>
    <w:rsid w:val="005868DA"/>
    <w:rsid w:val="00587BF2"/>
    <w:rsid w:val="00590F57"/>
    <w:rsid w:val="005949FA"/>
    <w:rsid w:val="00595089"/>
    <w:rsid w:val="005A2B97"/>
    <w:rsid w:val="005A3273"/>
    <w:rsid w:val="005A48D7"/>
    <w:rsid w:val="005A6723"/>
    <w:rsid w:val="005B06EE"/>
    <w:rsid w:val="005B5BB0"/>
    <w:rsid w:val="005B78BB"/>
    <w:rsid w:val="005B7BEE"/>
    <w:rsid w:val="005C01F5"/>
    <w:rsid w:val="005C1391"/>
    <w:rsid w:val="005C31BA"/>
    <w:rsid w:val="005C50E9"/>
    <w:rsid w:val="005C7226"/>
    <w:rsid w:val="005D057A"/>
    <w:rsid w:val="005D1DC1"/>
    <w:rsid w:val="005D60B1"/>
    <w:rsid w:val="005D6632"/>
    <w:rsid w:val="005D70DA"/>
    <w:rsid w:val="005E0948"/>
    <w:rsid w:val="005E4186"/>
    <w:rsid w:val="005E6088"/>
    <w:rsid w:val="005E79BB"/>
    <w:rsid w:val="005F0B56"/>
    <w:rsid w:val="005F2556"/>
    <w:rsid w:val="005F2593"/>
    <w:rsid w:val="005F3C80"/>
    <w:rsid w:val="005F46CB"/>
    <w:rsid w:val="005F5832"/>
    <w:rsid w:val="005F61D1"/>
    <w:rsid w:val="005F67D1"/>
    <w:rsid w:val="005F7131"/>
    <w:rsid w:val="006020C1"/>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67C1"/>
    <w:rsid w:val="0063744E"/>
    <w:rsid w:val="006417A9"/>
    <w:rsid w:val="00641B4C"/>
    <w:rsid w:val="00642BA9"/>
    <w:rsid w:val="00647290"/>
    <w:rsid w:val="00647EED"/>
    <w:rsid w:val="0065132C"/>
    <w:rsid w:val="006535B7"/>
    <w:rsid w:val="0065544D"/>
    <w:rsid w:val="006578E9"/>
    <w:rsid w:val="00657F8A"/>
    <w:rsid w:val="006600F9"/>
    <w:rsid w:val="00663B62"/>
    <w:rsid w:val="0066429F"/>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A0A19"/>
    <w:rsid w:val="006A1713"/>
    <w:rsid w:val="006A4084"/>
    <w:rsid w:val="006A531F"/>
    <w:rsid w:val="006A7189"/>
    <w:rsid w:val="006B1D35"/>
    <w:rsid w:val="006B337E"/>
    <w:rsid w:val="006B63A4"/>
    <w:rsid w:val="006B7F5C"/>
    <w:rsid w:val="006C5A41"/>
    <w:rsid w:val="006C6683"/>
    <w:rsid w:val="006C69EC"/>
    <w:rsid w:val="006D293B"/>
    <w:rsid w:val="006D443A"/>
    <w:rsid w:val="006D5738"/>
    <w:rsid w:val="006D6074"/>
    <w:rsid w:val="006D76FD"/>
    <w:rsid w:val="006E00BD"/>
    <w:rsid w:val="006E0B2C"/>
    <w:rsid w:val="006E2E78"/>
    <w:rsid w:val="006E762F"/>
    <w:rsid w:val="006F01D1"/>
    <w:rsid w:val="006F1293"/>
    <w:rsid w:val="006F1C79"/>
    <w:rsid w:val="006F2A43"/>
    <w:rsid w:val="006F2DA8"/>
    <w:rsid w:val="006F46AA"/>
    <w:rsid w:val="006F4BC8"/>
    <w:rsid w:val="006F6BAD"/>
    <w:rsid w:val="007024B1"/>
    <w:rsid w:val="00703E7B"/>
    <w:rsid w:val="00710D87"/>
    <w:rsid w:val="00714DD9"/>
    <w:rsid w:val="00722439"/>
    <w:rsid w:val="00724E91"/>
    <w:rsid w:val="0073029E"/>
    <w:rsid w:val="0073035F"/>
    <w:rsid w:val="00731B5B"/>
    <w:rsid w:val="00732806"/>
    <w:rsid w:val="00732D9D"/>
    <w:rsid w:val="007346CD"/>
    <w:rsid w:val="0073508A"/>
    <w:rsid w:val="00737C5D"/>
    <w:rsid w:val="00746105"/>
    <w:rsid w:val="00746305"/>
    <w:rsid w:val="00751121"/>
    <w:rsid w:val="0075157B"/>
    <w:rsid w:val="007531CA"/>
    <w:rsid w:val="00753746"/>
    <w:rsid w:val="00754853"/>
    <w:rsid w:val="00756AA9"/>
    <w:rsid w:val="00760811"/>
    <w:rsid w:val="0076103A"/>
    <w:rsid w:val="007616C6"/>
    <w:rsid w:val="00763144"/>
    <w:rsid w:val="00763C0E"/>
    <w:rsid w:val="007659EF"/>
    <w:rsid w:val="00777501"/>
    <w:rsid w:val="00777930"/>
    <w:rsid w:val="0078196B"/>
    <w:rsid w:val="00782655"/>
    <w:rsid w:val="00783007"/>
    <w:rsid w:val="0078511A"/>
    <w:rsid w:val="00785A4C"/>
    <w:rsid w:val="00785C5D"/>
    <w:rsid w:val="00787BAC"/>
    <w:rsid w:val="00791483"/>
    <w:rsid w:val="007945CF"/>
    <w:rsid w:val="00794E9B"/>
    <w:rsid w:val="00795AB7"/>
    <w:rsid w:val="00796C42"/>
    <w:rsid w:val="007A1004"/>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50DB"/>
    <w:rsid w:val="007C630B"/>
    <w:rsid w:val="007C6D1C"/>
    <w:rsid w:val="007C7265"/>
    <w:rsid w:val="007C7C87"/>
    <w:rsid w:val="007C7F83"/>
    <w:rsid w:val="007D2514"/>
    <w:rsid w:val="007D2814"/>
    <w:rsid w:val="007D28C9"/>
    <w:rsid w:val="007D51FA"/>
    <w:rsid w:val="007E100F"/>
    <w:rsid w:val="007E17EB"/>
    <w:rsid w:val="007E2AEB"/>
    <w:rsid w:val="007E5DB7"/>
    <w:rsid w:val="007E5E6B"/>
    <w:rsid w:val="007E5F81"/>
    <w:rsid w:val="007E6288"/>
    <w:rsid w:val="007F10B2"/>
    <w:rsid w:val="007F3CFA"/>
    <w:rsid w:val="007F4437"/>
    <w:rsid w:val="00804792"/>
    <w:rsid w:val="008117DD"/>
    <w:rsid w:val="00814B7F"/>
    <w:rsid w:val="00817A80"/>
    <w:rsid w:val="00821120"/>
    <w:rsid w:val="00826B69"/>
    <w:rsid w:val="00827897"/>
    <w:rsid w:val="00830B02"/>
    <w:rsid w:val="008338E8"/>
    <w:rsid w:val="00843181"/>
    <w:rsid w:val="00845D26"/>
    <w:rsid w:val="008539CA"/>
    <w:rsid w:val="00853F7C"/>
    <w:rsid w:val="0085502F"/>
    <w:rsid w:val="0085558A"/>
    <w:rsid w:val="00855BFA"/>
    <w:rsid w:val="00857FFE"/>
    <w:rsid w:val="008612CF"/>
    <w:rsid w:val="0086319E"/>
    <w:rsid w:val="00865A6C"/>
    <w:rsid w:val="00867AA8"/>
    <w:rsid w:val="00872169"/>
    <w:rsid w:val="00872516"/>
    <w:rsid w:val="0087265B"/>
    <w:rsid w:val="00872A1A"/>
    <w:rsid w:val="00873843"/>
    <w:rsid w:val="00875FE1"/>
    <w:rsid w:val="0088063C"/>
    <w:rsid w:val="00882162"/>
    <w:rsid w:val="008837C8"/>
    <w:rsid w:val="0088397E"/>
    <w:rsid w:val="00887524"/>
    <w:rsid w:val="0089352E"/>
    <w:rsid w:val="00897034"/>
    <w:rsid w:val="00897542"/>
    <w:rsid w:val="008A0449"/>
    <w:rsid w:val="008A1F72"/>
    <w:rsid w:val="008A419A"/>
    <w:rsid w:val="008A4AC0"/>
    <w:rsid w:val="008A4B10"/>
    <w:rsid w:val="008A56C7"/>
    <w:rsid w:val="008A647D"/>
    <w:rsid w:val="008B53C2"/>
    <w:rsid w:val="008B7B07"/>
    <w:rsid w:val="008C2E3B"/>
    <w:rsid w:val="008C4945"/>
    <w:rsid w:val="008D13A0"/>
    <w:rsid w:val="008D2B44"/>
    <w:rsid w:val="008D330C"/>
    <w:rsid w:val="008E014D"/>
    <w:rsid w:val="008E3DF1"/>
    <w:rsid w:val="008E4AA0"/>
    <w:rsid w:val="008E642F"/>
    <w:rsid w:val="008E7BEF"/>
    <w:rsid w:val="008F061D"/>
    <w:rsid w:val="008F1595"/>
    <w:rsid w:val="008F32A2"/>
    <w:rsid w:val="008F7FF2"/>
    <w:rsid w:val="00907848"/>
    <w:rsid w:val="00910E40"/>
    <w:rsid w:val="00920627"/>
    <w:rsid w:val="009234F6"/>
    <w:rsid w:val="00926BA0"/>
    <w:rsid w:val="00931664"/>
    <w:rsid w:val="00940573"/>
    <w:rsid w:val="00947070"/>
    <w:rsid w:val="0095079F"/>
    <w:rsid w:val="00952DED"/>
    <w:rsid w:val="0095361E"/>
    <w:rsid w:val="009558F3"/>
    <w:rsid w:val="0096579A"/>
    <w:rsid w:val="009700AB"/>
    <w:rsid w:val="00970457"/>
    <w:rsid w:val="0097143B"/>
    <w:rsid w:val="00971EB5"/>
    <w:rsid w:val="00974BAB"/>
    <w:rsid w:val="00975563"/>
    <w:rsid w:val="00975A0B"/>
    <w:rsid w:val="00976DDF"/>
    <w:rsid w:val="00977801"/>
    <w:rsid w:val="00980A68"/>
    <w:rsid w:val="00980F7B"/>
    <w:rsid w:val="009819CD"/>
    <w:rsid w:val="0098248F"/>
    <w:rsid w:val="00985D3C"/>
    <w:rsid w:val="00986C39"/>
    <w:rsid w:val="009927FA"/>
    <w:rsid w:val="00992E84"/>
    <w:rsid w:val="00995024"/>
    <w:rsid w:val="009950C5"/>
    <w:rsid w:val="009953F9"/>
    <w:rsid w:val="00997091"/>
    <w:rsid w:val="0099754C"/>
    <w:rsid w:val="009975C1"/>
    <w:rsid w:val="00997E06"/>
    <w:rsid w:val="009A06FD"/>
    <w:rsid w:val="009A1850"/>
    <w:rsid w:val="009A347E"/>
    <w:rsid w:val="009B0DD2"/>
    <w:rsid w:val="009B3612"/>
    <w:rsid w:val="009B5401"/>
    <w:rsid w:val="009C2305"/>
    <w:rsid w:val="009C28F0"/>
    <w:rsid w:val="009C6A38"/>
    <w:rsid w:val="009C71CE"/>
    <w:rsid w:val="009D1D69"/>
    <w:rsid w:val="009D2F2C"/>
    <w:rsid w:val="009D71F7"/>
    <w:rsid w:val="009E20DD"/>
    <w:rsid w:val="009E21FC"/>
    <w:rsid w:val="009E2E58"/>
    <w:rsid w:val="009E4531"/>
    <w:rsid w:val="009E5063"/>
    <w:rsid w:val="009E6854"/>
    <w:rsid w:val="009F4841"/>
    <w:rsid w:val="009F5F26"/>
    <w:rsid w:val="009F637A"/>
    <w:rsid w:val="00A0434C"/>
    <w:rsid w:val="00A10604"/>
    <w:rsid w:val="00A1155A"/>
    <w:rsid w:val="00A11CED"/>
    <w:rsid w:val="00A1279E"/>
    <w:rsid w:val="00A145B0"/>
    <w:rsid w:val="00A15498"/>
    <w:rsid w:val="00A1555B"/>
    <w:rsid w:val="00A266E3"/>
    <w:rsid w:val="00A30492"/>
    <w:rsid w:val="00A3336F"/>
    <w:rsid w:val="00A33801"/>
    <w:rsid w:val="00A3436E"/>
    <w:rsid w:val="00A3473E"/>
    <w:rsid w:val="00A410BA"/>
    <w:rsid w:val="00A41F99"/>
    <w:rsid w:val="00A43577"/>
    <w:rsid w:val="00A458FF"/>
    <w:rsid w:val="00A46348"/>
    <w:rsid w:val="00A556D9"/>
    <w:rsid w:val="00A55D1C"/>
    <w:rsid w:val="00A60C9A"/>
    <w:rsid w:val="00A6261F"/>
    <w:rsid w:val="00A62E2E"/>
    <w:rsid w:val="00A67485"/>
    <w:rsid w:val="00A7035B"/>
    <w:rsid w:val="00A73E89"/>
    <w:rsid w:val="00A74A70"/>
    <w:rsid w:val="00A764A4"/>
    <w:rsid w:val="00A76EFF"/>
    <w:rsid w:val="00A80BAF"/>
    <w:rsid w:val="00A832E8"/>
    <w:rsid w:val="00A83506"/>
    <w:rsid w:val="00A83A76"/>
    <w:rsid w:val="00A841F6"/>
    <w:rsid w:val="00A85402"/>
    <w:rsid w:val="00A87EC0"/>
    <w:rsid w:val="00A90E3F"/>
    <w:rsid w:val="00A92581"/>
    <w:rsid w:val="00A92E92"/>
    <w:rsid w:val="00A937D7"/>
    <w:rsid w:val="00AA0BC9"/>
    <w:rsid w:val="00AA3424"/>
    <w:rsid w:val="00AA3810"/>
    <w:rsid w:val="00AA4902"/>
    <w:rsid w:val="00AA6C8F"/>
    <w:rsid w:val="00AA79B4"/>
    <w:rsid w:val="00AB0D4A"/>
    <w:rsid w:val="00AB72BC"/>
    <w:rsid w:val="00AB7C8C"/>
    <w:rsid w:val="00AC52BE"/>
    <w:rsid w:val="00AD2FA2"/>
    <w:rsid w:val="00AD34D7"/>
    <w:rsid w:val="00AD4045"/>
    <w:rsid w:val="00AD7670"/>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32AFF"/>
    <w:rsid w:val="00B33826"/>
    <w:rsid w:val="00B3420F"/>
    <w:rsid w:val="00B41A8B"/>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5B38"/>
    <w:rsid w:val="00B961B3"/>
    <w:rsid w:val="00B97E61"/>
    <w:rsid w:val="00B97FBA"/>
    <w:rsid w:val="00BA07EF"/>
    <w:rsid w:val="00BA369A"/>
    <w:rsid w:val="00BA440E"/>
    <w:rsid w:val="00BA532C"/>
    <w:rsid w:val="00BA54FD"/>
    <w:rsid w:val="00BA5DBF"/>
    <w:rsid w:val="00BB1EB6"/>
    <w:rsid w:val="00BC0179"/>
    <w:rsid w:val="00BC324C"/>
    <w:rsid w:val="00BC3C71"/>
    <w:rsid w:val="00BD0A99"/>
    <w:rsid w:val="00BD13A6"/>
    <w:rsid w:val="00BD2873"/>
    <w:rsid w:val="00BD49CD"/>
    <w:rsid w:val="00BD71E5"/>
    <w:rsid w:val="00BE036D"/>
    <w:rsid w:val="00BE1492"/>
    <w:rsid w:val="00BE1C2B"/>
    <w:rsid w:val="00BE3200"/>
    <w:rsid w:val="00BE32E9"/>
    <w:rsid w:val="00BE488B"/>
    <w:rsid w:val="00BE78C4"/>
    <w:rsid w:val="00BF0558"/>
    <w:rsid w:val="00BF07D9"/>
    <w:rsid w:val="00BF0EED"/>
    <w:rsid w:val="00BF4714"/>
    <w:rsid w:val="00BF6929"/>
    <w:rsid w:val="00C01146"/>
    <w:rsid w:val="00C0415D"/>
    <w:rsid w:val="00C06043"/>
    <w:rsid w:val="00C0722E"/>
    <w:rsid w:val="00C07A2D"/>
    <w:rsid w:val="00C10136"/>
    <w:rsid w:val="00C11199"/>
    <w:rsid w:val="00C15646"/>
    <w:rsid w:val="00C16DE1"/>
    <w:rsid w:val="00C26FF3"/>
    <w:rsid w:val="00C3073F"/>
    <w:rsid w:val="00C324F9"/>
    <w:rsid w:val="00C33BFF"/>
    <w:rsid w:val="00C37F53"/>
    <w:rsid w:val="00C416BA"/>
    <w:rsid w:val="00C4260F"/>
    <w:rsid w:val="00C43B5C"/>
    <w:rsid w:val="00C459F1"/>
    <w:rsid w:val="00C45F49"/>
    <w:rsid w:val="00C474C2"/>
    <w:rsid w:val="00C47742"/>
    <w:rsid w:val="00C50CDA"/>
    <w:rsid w:val="00C52C64"/>
    <w:rsid w:val="00C543CC"/>
    <w:rsid w:val="00C564EE"/>
    <w:rsid w:val="00C57D02"/>
    <w:rsid w:val="00C61F42"/>
    <w:rsid w:val="00C62B87"/>
    <w:rsid w:val="00C63F12"/>
    <w:rsid w:val="00C65D44"/>
    <w:rsid w:val="00C6642C"/>
    <w:rsid w:val="00C718E2"/>
    <w:rsid w:val="00C77CD8"/>
    <w:rsid w:val="00C800B0"/>
    <w:rsid w:val="00C8151F"/>
    <w:rsid w:val="00C82C9A"/>
    <w:rsid w:val="00C85252"/>
    <w:rsid w:val="00C9272C"/>
    <w:rsid w:val="00C97685"/>
    <w:rsid w:val="00C97EB5"/>
    <w:rsid w:val="00CA06F5"/>
    <w:rsid w:val="00CA3516"/>
    <w:rsid w:val="00CB1F2F"/>
    <w:rsid w:val="00CB4AB7"/>
    <w:rsid w:val="00CC1734"/>
    <w:rsid w:val="00CC1B4D"/>
    <w:rsid w:val="00CC29AE"/>
    <w:rsid w:val="00CC582F"/>
    <w:rsid w:val="00CC64F2"/>
    <w:rsid w:val="00CC7E21"/>
    <w:rsid w:val="00CD013A"/>
    <w:rsid w:val="00CD4399"/>
    <w:rsid w:val="00CF096E"/>
    <w:rsid w:val="00CF3BF0"/>
    <w:rsid w:val="00CF5690"/>
    <w:rsid w:val="00CF75E2"/>
    <w:rsid w:val="00D01111"/>
    <w:rsid w:val="00D01AAE"/>
    <w:rsid w:val="00D0263B"/>
    <w:rsid w:val="00D06B85"/>
    <w:rsid w:val="00D07149"/>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73EF"/>
    <w:rsid w:val="00D27933"/>
    <w:rsid w:val="00D3120F"/>
    <w:rsid w:val="00D32AFD"/>
    <w:rsid w:val="00D352B2"/>
    <w:rsid w:val="00D36F58"/>
    <w:rsid w:val="00D40044"/>
    <w:rsid w:val="00D41CDC"/>
    <w:rsid w:val="00D43C41"/>
    <w:rsid w:val="00D447F6"/>
    <w:rsid w:val="00D501D8"/>
    <w:rsid w:val="00D63E7A"/>
    <w:rsid w:val="00D67510"/>
    <w:rsid w:val="00D81EEB"/>
    <w:rsid w:val="00D840D7"/>
    <w:rsid w:val="00D84F7D"/>
    <w:rsid w:val="00D8748C"/>
    <w:rsid w:val="00D87D4B"/>
    <w:rsid w:val="00D90FC5"/>
    <w:rsid w:val="00D926E4"/>
    <w:rsid w:val="00D9288A"/>
    <w:rsid w:val="00D94AC4"/>
    <w:rsid w:val="00D951E4"/>
    <w:rsid w:val="00DA1B16"/>
    <w:rsid w:val="00DA24BB"/>
    <w:rsid w:val="00DA6C52"/>
    <w:rsid w:val="00DB0B2B"/>
    <w:rsid w:val="00DB100F"/>
    <w:rsid w:val="00DB5390"/>
    <w:rsid w:val="00DB6875"/>
    <w:rsid w:val="00DC199B"/>
    <w:rsid w:val="00DC2B43"/>
    <w:rsid w:val="00DC30AC"/>
    <w:rsid w:val="00DC4735"/>
    <w:rsid w:val="00DC6C64"/>
    <w:rsid w:val="00DC71C5"/>
    <w:rsid w:val="00DC75BD"/>
    <w:rsid w:val="00DC78D1"/>
    <w:rsid w:val="00DD514F"/>
    <w:rsid w:val="00DD71F4"/>
    <w:rsid w:val="00DE2AF0"/>
    <w:rsid w:val="00DE2C66"/>
    <w:rsid w:val="00DE4257"/>
    <w:rsid w:val="00DE4802"/>
    <w:rsid w:val="00DE5BC9"/>
    <w:rsid w:val="00DF1673"/>
    <w:rsid w:val="00DF28B3"/>
    <w:rsid w:val="00E0095E"/>
    <w:rsid w:val="00E01A6A"/>
    <w:rsid w:val="00E04177"/>
    <w:rsid w:val="00E048E3"/>
    <w:rsid w:val="00E06720"/>
    <w:rsid w:val="00E07554"/>
    <w:rsid w:val="00E10150"/>
    <w:rsid w:val="00E1114C"/>
    <w:rsid w:val="00E13B65"/>
    <w:rsid w:val="00E144D0"/>
    <w:rsid w:val="00E157FB"/>
    <w:rsid w:val="00E21CA7"/>
    <w:rsid w:val="00E3097F"/>
    <w:rsid w:val="00E30F6A"/>
    <w:rsid w:val="00E31625"/>
    <w:rsid w:val="00E342AC"/>
    <w:rsid w:val="00E44189"/>
    <w:rsid w:val="00E46060"/>
    <w:rsid w:val="00E47BA1"/>
    <w:rsid w:val="00E50106"/>
    <w:rsid w:val="00E55112"/>
    <w:rsid w:val="00E566B8"/>
    <w:rsid w:val="00E579DC"/>
    <w:rsid w:val="00E601E5"/>
    <w:rsid w:val="00E6176C"/>
    <w:rsid w:val="00E62B46"/>
    <w:rsid w:val="00E6774C"/>
    <w:rsid w:val="00E67D5C"/>
    <w:rsid w:val="00E70F40"/>
    <w:rsid w:val="00E720F1"/>
    <w:rsid w:val="00E739C0"/>
    <w:rsid w:val="00E752A4"/>
    <w:rsid w:val="00E75C8E"/>
    <w:rsid w:val="00E8334F"/>
    <w:rsid w:val="00E862DD"/>
    <w:rsid w:val="00E87FBD"/>
    <w:rsid w:val="00E91EC1"/>
    <w:rsid w:val="00E946AF"/>
    <w:rsid w:val="00EA04F2"/>
    <w:rsid w:val="00EA2F09"/>
    <w:rsid w:val="00EA5D4B"/>
    <w:rsid w:val="00EA66D4"/>
    <w:rsid w:val="00EA7218"/>
    <w:rsid w:val="00EB19AC"/>
    <w:rsid w:val="00EB2C04"/>
    <w:rsid w:val="00EB4191"/>
    <w:rsid w:val="00EB4D48"/>
    <w:rsid w:val="00EB51D8"/>
    <w:rsid w:val="00EB5BF6"/>
    <w:rsid w:val="00EC0699"/>
    <w:rsid w:val="00EC24E7"/>
    <w:rsid w:val="00ED046C"/>
    <w:rsid w:val="00EE046B"/>
    <w:rsid w:val="00EE6D23"/>
    <w:rsid w:val="00EF1A4C"/>
    <w:rsid w:val="00EF2458"/>
    <w:rsid w:val="00EF4D04"/>
    <w:rsid w:val="00EF6548"/>
    <w:rsid w:val="00F03606"/>
    <w:rsid w:val="00F04AF4"/>
    <w:rsid w:val="00F05563"/>
    <w:rsid w:val="00F058E1"/>
    <w:rsid w:val="00F06E56"/>
    <w:rsid w:val="00F14509"/>
    <w:rsid w:val="00F14921"/>
    <w:rsid w:val="00F15717"/>
    <w:rsid w:val="00F17D35"/>
    <w:rsid w:val="00F20010"/>
    <w:rsid w:val="00F20AE5"/>
    <w:rsid w:val="00F20EF2"/>
    <w:rsid w:val="00F23EFD"/>
    <w:rsid w:val="00F25156"/>
    <w:rsid w:val="00F27B64"/>
    <w:rsid w:val="00F27EEA"/>
    <w:rsid w:val="00F333A2"/>
    <w:rsid w:val="00F348FF"/>
    <w:rsid w:val="00F37ECF"/>
    <w:rsid w:val="00F4430D"/>
    <w:rsid w:val="00F445A5"/>
    <w:rsid w:val="00F50C42"/>
    <w:rsid w:val="00F52295"/>
    <w:rsid w:val="00F56118"/>
    <w:rsid w:val="00F56BFA"/>
    <w:rsid w:val="00F610D8"/>
    <w:rsid w:val="00F626B6"/>
    <w:rsid w:val="00F64AE3"/>
    <w:rsid w:val="00F66D5B"/>
    <w:rsid w:val="00F739F4"/>
    <w:rsid w:val="00F7572A"/>
    <w:rsid w:val="00F80C17"/>
    <w:rsid w:val="00F83FE6"/>
    <w:rsid w:val="00F84AEC"/>
    <w:rsid w:val="00F9297D"/>
    <w:rsid w:val="00F9767F"/>
    <w:rsid w:val="00F97ED3"/>
    <w:rsid w:val="00FA0266"/>
    <w:rsid w:val="00FA1562"/>
    <w:rsid w:val="00FA24DD"/>
    <w:rsid w:val="00FA38AF"/>
    <w:rsid w:val="00FA6CD9"/>
    <w:rsid w:val="00FB49B5"/>
    <w:rsid w:val="00FC0A4D"/>
    <w:rsid w:val="00FC0D9D"/>
    <w:rsid w:val="00FC12A3"/>
    <w:rsid w:val="00FC43BE"/>
    <w:rsid w:val="00FC5158"/>
    <w:rsid w:val="00FC7589"/>
    <w:rsid w:val="00FD4361"/>
    <w:rsid w:val="00FD5E3E"/>
    <w:rsid w:val="00FD789A"/>
    <w:rsid w:val="00FE2831"/>
    <w:rsid w:val="00FE473D"/>
    <w:rsid w:val="00FE725D"/>
    <w:rsid w:val="00FF049A"/>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lang/>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lang/>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3773512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DE70-F65C-46B8-899C-8F264F01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1104</TotalTime>
  <Pages>1</Pages>
  <Words>1133</Words>
  <Characters>6460</Characters>
  <Application>Microsoft Office Word</Application>
  <DocSecurity>8</DocSecurity>
  <Lines>53</Lines>
  <Paragraphs>15</Paragraphs>
  <ScaleCrop>false</ScaleCrop>
  <Company>微软中国</Company>
  <LinksUpToDate>false</LinksUpToDate>
  <CharactersWithSpaces>7578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陈浩01</cp:lastModifiedBy>
  <cp:revision>2</cp:revision>
  <dcterms:created xsi:type="dcterms:W3CDTF">2014-11-26T09:59:00Z</dcterms:created>
  <dcterms:modified xsi:type="dcterms:W3CDTF">2019-01-04T09:14:00Z</dcterms:modified>
</cp:coreProperties>
</file>