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35B" w:rsidRPr="00C74C7E" w:rsidRDefault="00A7035B" w:rsidP="00A7035B">
      <w:pPr>
        <w:spacing w:line="372" w:lineRule="auto"/>
        <w:jc w:val="center"/>
        <w:rPr>
          <w:rFonts w:ascii="宋体" w:hAnsi="宋体"/>
          <w:sz w:val="30"/>
          <w:szCs w:val="30"/>
        </w:rPr>
      </w:pPr>
      <w:r w:rsidRPr="00C74C7E">
        <w:rPr>
          <w:rFonts w:ascii="黑体" w:eastAsia="黑体" w:hint="eastAsia"/>
          <w:sz w:val="30"/>
          <w:szCs w:val="30"/>
        </w:rPr>
        <w:t>温州银行“金鹿理财</w:t>
      </w:r>
      <w:r>
        <w:rPr>
          <w:rFonts w:ascii="黑体" w:eastAsia="黑体" w:hint="eastAsia"/>
          <w:sz w:val="30"/>
          <w:szCs w:val="30"/>
        </w:rPr>
        <w:t>-乐得富</w:t>
      </w:r>
      <w:r w:rsidRPr="00C74C7E">
        <w:rPr>
          <w:rFonts w:ascii="黑体" w:eastAsia="黑体" w:hint="eastAsia"/>
          <w:sz w:val="30"/>
          <w:szCs w:val="30"/>
        </w:rPr>
        <w:t>”</w:t>
      </w:r>
      <w:r w:rsidR="004359A0">
        <w:rPr>
          <w:rFonts w:ascii="黑体" w:eastAsia="黑体" w:hint="eastAsia"/>
          <w:sz w:val="30"/>
          <w:szCs w:val="30"/>
          <w:u w:val="single"/>
        </w:rPr>
        <w:t>19028</w:t>
      </w:r>
      <w:r w:rsidRPr="00C74C7E">
        <w:rPr>
          <w:rFonts w:ascii="黑体" w:eastAsia="黑体" w:hint="eastAsia"/>
          <w:sz w:val="30"/>
          <w:szCs w:val="30"/>
        </w:rPr>
        <w:t>期银行理财计划风险揭示书</w:t>
      </w:r>
    </w:p>
    <w:p w:rsidR="00A7035B" w:rsidRPr="00C74C7E" w:rsidRDefault="00A7035B" w:rsidP="00FC12A3">
      <w:pPr>
        <w:adjustRightInd w:val="0"/>
        <w:snapToGrid w:val="0"/>
        <w:spacing w:before="240" w:line="353" w:lineRule="auto"/>
        <w:rPr>
          <w:rFonts w:ascii="宋体" w:hAnsi="宋体"/>
          <w:b/>
          <w:szCs w:val="21"/>
        </w:rPr>
      </w:pPr>
      <w:r w:rsidRPr="00C74C7E">
        <w:rPr>
          <w:rFonts w:ascii="宋体" w:hAnsi="宋体" w:hint="eastAsia"/>
          <w:b/>
          <w:szCs w:val="21"/>
        </w:rPr>
        <w:t>尊敬的客户：</w:t>
      </w:r>
    </w:p>
    <w:p w:rsidR="00A7035B" w:rsidRDefault="00A7035B" w:rsidP="00FC12A3">
      <w:pPr>
        <w:adjustRightInd w:val="0"/>
        <w:snapToGrid w:val="0"/>
        <w:spacing w:line="353" w:lineRule="auto"/>
        <w:ind w:firstLine="420"/>
        <w:rPr>
          <w:rFonts w:ascii="宋体" w:hAnsi="宋体"/>
          <w:szCs w:val="21"/>
        </w:rPr>
      </w:pPr>
      <w:r w:rsidRPr="0058470B">
        <w:rPr>
          <w:rFonts w:hint="eastAsia"/>
          <w:b/>
          <w:szCs w:val="21"/>
        </w:rPr>
        <w:t>理财非存款、产品有风险、</w:t>
      </w:r>
      <w:r>
        <w:rPr>
          <w:rFonts w:hint="eastAsia"/>
          <w:b/>
          <w:szCs w:val="21"/>
        </w:rPr>
        <w:t>测算收益不等于实际收益</w:t>
      </w:r>
      <w:r w:rsidRPr="0058470B">
        <w:rPr>
          <w:rFonts w:hint="eastAsia"/>
          <w:b/>
          <w:szCs w:val="21"/>
        </w:rPr>
        <w:t>、投资须谨慎</w:t>
      </w:r>
      <w:r>
        <w:rPr>
          <w:rFonts w:ascii="宋体" w:hAnsi="宋体" w:hint="eastAsia"/>
          <w:szCs w:val="21"/>
        </w:rPr>
        <w:t>，请在认购该理财产品前特别注意以下事项：</w:t>
      </w:r>
    </w:p>
    <w:p w:rsidR="00A7035B" w:rsidRPr="007D28BD" w:rsidRDefault="00A7035B" w:rsidP="00FC12A3">
      <w:pPr>
        <w:adjustRightInd w:val="0"/>
        <w:snapToGrid w:val="0"/>
        <w:spacing w:line="353" w:lineRule="auto"/>
        <w:ind w:firstLine="420"/>
        <w:rPr>
          <w:rFonts w:ascii="宋体" w:hAnsi="宋体"/>
          <w:szCs w:val="21"/>
        </w:rPr>
      </w:pPr>
      <w:r>
        <w:rPr>
          <w:rFonts w:ascii="宋体" w:hAnsi="宋体" w:hint="eastAsia"/>
          <w:szCs w:val="21"/>
        </w:rPr>
        <w:t>一、</w:t>
      </w:r>
      <w:r w:rsidRPr="00F26E3B">
        <w:rPr>
          <w:rFonts w:hint="eastAsia"/>
          <w:szCs w:val="21"/>
        </w:rPr>
        <w:t>您将认购的</w:t>
      </w:r>
      <w:r w:rsidRPr="00AC26CF">
        <w:rPr>
          <w:rFonts w:hint="eastAsia"/>
          <w:szCs w:val="21"/>
        </w:rPr>
        <w:t>温州银行“金鹿理财</w:t>
      </w:r>
      <w:r w:rsidRPr="00DC77BA">
        <w:rPr>
          <w:rFonts w:ascii="宋体" w:hAnsi="宋体" w:hint="eastAsia"/>
          <w:szCs w:val="21"/>
        </w:rPr>
        <w:t>-</w:t>
      </w:r>
      <w:r>
        <w:rPr>
          <w:rFonts w:hint="eastAsia"/>
          <w:szCs w:val="21"/>
        </w:rPr>
        <w:t>乐得富</w:t>
      </w:r>
      <w:r w:rsidRPr="00AC26CF">
        <w:rPr>
          <w:rFonts w:hint="eastAsia"/>
          <w:szCs w:val="21"/>
        </w:rPr>
        <w:t>”</w:t>
      </w:r>
      <w:r w:rsidR="004359A0">
        <w:rPr>
          <w:rFonts w:hint="eastAsia"/>
          <w:szCs w:val="21"/>
          <w:u w:val="single"/>
        </w:rPr>
        <w:t>19028</w:t>
      </w:r>
      <w:r w:rsidRPr="00AC26CF">
        <w:rPr>
          <w:rFonts w:hint="eastAsia"/>
          <w:szCs w:val="21"/>
        </w:rPr>
        <w:t>期银行理财计划</w:t>
      </w:r>
      <w:r w:rsidRPr="00ED0BD8">
        <w:rPr>
          <w:rFonts w:hint="eastAsia"/>
          <w:szCs w:val="21"/>
        </w:rPr>
        <w:t>，</w:t>
      </w:r>
      <w:r>
        <w:rPr>
          <w:rFonts w:hint="eastAsia"/>
          <w:szCs w:val="21"/>
        </w:rPr>
        <w:t>投资类型属于</w:t>
      </w:r>
      <w:r w:rsidR="00952DED">
        <w:rPr>
          <w:rFonts w:hint="eastAsia"/>
          <w:szCs w:val="21"/>
          <w:u w:val="single"/>
        </w:rPr>
        <w:t>混合类理财产品</w:t>
      </w:r>
      <w:r>
        <w:rPr>
          <w:rFonts w:hint="eastAsia"/>
          <w:szCs w:val="21"/>
        </w:rPr>
        <w:t>，收益类</w:t>
      </w:r>
      <w:r w:rsidRPr="00F33AE5">
        <w:rPr>
          <w:rFonts w:hint="eastAsia"/>
          <w:szCs w:val="21"/>
        </w:rPr>
        <w:t>型为</w:t>
      </w:r>
      <w:r w:rsidRPr="0058470B">
        <w:rPr>
          <w:rFonts w:hint="eastAsia"/>
          <w:szCs w:val="21"/>
          <w:u w:val="single"/>
        </w:rPr>
        <w:t>非保本浮动收益型</w:t>
      </w:r>
      <w:r w:rsidRPr="00F33AE5">
        <w:rPr>
          <w:rFonts w:hint="eastAsia"/>
          <w:szCs w:val="21"/>
        </w:rPr>
        <w:t>，</w:t>
      </w:r>
      <w:r w:rsidR="00952DED">
        <w:rPr>
          <w:rFonts w:hint="eastAsia"/>
          <w:szCs w:val="21"/>
        </w:rPr>
        <w:t>运作模式为</w:t>
      </w:r>
      <w:r w:rsidR="00952DED">
        <w:rPr>
          <w:rFonts w:hint="eastAsia"/>
          <w:szCs w:val="21"/>
          <w:u w:val="single"/>
        </w:rPr>
        <w:t>封闭式非净值型</w:t>
      </w:r>
      <w:r w:rsidR="00952DED" w:rsidRPr="00F33AE5">
        <w:rPr>
          <w:rFonts w:hint="eastAsia"/>
          <w:szCs w:val="21"/>
        </w:rPr>
        <w:t>，</w:t>
      </w:r>
      <w:r w:rsidRPr="00F33AE5">
        <w:rPr>
          <w:rFonts w:hint="eastAsia"/>
          <w:szCs w:val="21"/>
        </w:rPr>
        <w:t>理财期限</w:t>
      </w:r>
      <w:r w:rsidR="00952DED">
        <w:rPr>
          <w:rFonts w:hint="eastAsia"/>
          <w:szCs w:val="21"/>
        </w:rPr>
        <w:t>为</w:t>
      </w:r>
      <w:r>
        <w:rPr>
          <w:rFonts w:hint="eastAsia"/>
          <w:szCs w:val="21"/>
          <w:u w:val="single"/>
        </w:rPr>
        <w:t xml:space="preserve"> </w:t>
      </w:r>
      <w:r w:rsidR="004359A0">
        <w:rPr>
          <w:rFonts w:hint="eastAsia"/>
          <w:szCs w:val="21"/>
          <w:u w:val="single"/>
        </w:rPr>
        <w:t>364</w:t>
      </w:r>
      <w:r w:rsidRPr="00F33AE5">
        <w:rPr>
          <w:rFonts w:hint="eastAsia"/>
          <w:szCs w:val="21"/>
        </w:rPr>
        <w:t>天</w:t>
      </w:r>
      <w:r>
        <w:rPr>
          <w:rFonts w:hint="eastAsia"/>
          <w:szCs w:val="21"/>
        </w:rPr>
        <w:t>，</w:t>
      </w:r>
      <w:r w:rsidR="00455794">
        <w:rPr>
          <w:rFonts w:hint="eastAsia"/>
          <w:szCs w:val="21"/>
        </w:rPr>
        <w:t>业绩比较基准（</w:t>
      </w:r>
      <w:r>
        <w:rPr>
          <w:rFonts w:hint="eastAsia"/>
          <w:szCs w:val="21"/>
        </w:rPr>
        <w:t>理财年化收益率</w:t>
      </w:r>
      <w:r w:rsidR="00455794">
        <w:rPr>
          <w:rFonts w:hint="eastAsia"/>
          <w:szCs w:val="21"/>
        </w:rPr>
        <w:t>）</w:t>
      </w:r>
      <w:r w:rsidR="00952DED">
        <w:rPr>
          <w:rFonts w:hint="eastAsia"/>
          <w:szCs w:val="21"/>
        </w:rPr>
        <w:t>为</w:t>
      </w:r>
      <w:r w:rsidR="006C4DEE">
        <w:rPr>
          <w:rFonts w:hint="eastAsia"/>
          <w:szCs w:val="21"/>
          <w:u w:val="single"/>
        </w:rPr>
        <w:t>4.65%</w:t>
      </w:r>
      <w:r w:rsidRPr="00F33AE5">
        <w:rPr>
          <w:rFonts w:hint="eastAsia"/>
          <w:szCs w:val="21"/>
        </w:rPr>
        <w:t>。根据温</w:t>
      </w:r>
      <w:r w:rsidRPr="007D28BD">
        <w:rPr>
          <w:rFonts w:ascii="宋体" w:hAnsi="宋体" w:hint="eastAsia"/>
          <w:szCs w:val="21"/>
        </w:rPr>
        <w:t>州银行内部风险评级标准，该产品的风险等级为</w:t>
      </w:r>
      <w:r w:rsidRPr="0058470B">
        <w:rPr>
          <w:rFonts w:ascii="宋体" w:hAnsi="宋体" w:hint="eastAsia"/>
          <w:szCs w:val="21"/>
          <w:u w:val="single"/>
        </w:rPr>
        <w:t>PR2级</w:t>
      </w:r>
      <w:r w:rsidRPr="007D28BD">
        <w:rPr>
          <w:rFonts w:ascii="宋体" w:hAnsi="宋体" w:hint="eastAsia"/>
          <w:szCs w:val="21"/>
        </w:rPr>
        <w:t>（稳健型）：总体风险程度较低，</w:t>
      </w:r>
      <w:r>
        <w:rPr>
          <w:rFonts w:ascii="宋体" w:hAnsi="宋体" w:hint="eastAsia"/>
          <w:szCs w:val="21"/>
        </w:rPr>
        <w:t>银行不承诺本金保障但本金损失可能性很小，产品收益随投资表现变动</w:t>
      </w:r>
      <w:r w:rsidRPr="007D28BD">
        <w:rPr>
          <w:rFonts w:ascii="宋体" w:hAnsi="宋体" w:hint="eastAsia"/>
          <w:szCs w:val="21"/>
        </w:rPr>
        <w:t>。本理财产品适合客户：经温州银行评估为稳健型、平衡型、进取型、激进型的个人投资者。</w:t>
      </w:r>
      <w:r>
        <w:rPr>
          <w:rFonts w:ascii="宋体" w:hAnsi="宋体" w:hint="eastAsia"/>
          <w:szCs w:val="21"/>
        </w:rPr>
        <w:t>如影响您风险承受能力的因素发生变化，请在认购前及时重新完成风险承受能力评估。</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二、温州银行将按照</w:t>
      </w:r>
      <w:r w:rsidRPr="00CD50B2">
        <w:rPr>
          <w:rFonts w:ascii="宋体" w:hAnsi="宋体" w:hint="eastAsia"/>
          <w:szCs w:val="21"/>
        </w:rPr>
        <w:t>理财</w:t>
      </w:r>
      <w:r>
        <w:rPr>
          <w:rFonts w:ascii="宋体" w:hAnsi="宋体" w:hint="eastAsia"/>
          <w:szCs w:val="21"/>
        </w:rPr>
        <w:t>合约和产品说明书等文件约定之条件进行理财资金的投资管理，在运作管理过程中，将可能存在</w:t>
      </w:r>
      <w:r w:rsidRPr="009566FE">
        <w:rPr>
          <w:rFonts w:ascii="宋体" w:hAnsi="宋体" w:hint="eastAsia"/>
          <w:szCs w:val="21"/>
        </w:rPr>
        <w:t>管理风险、政策风险、</w:t>
      </w:r>
      <w:r>
        <w:rPr>
          <w:rFonts w:ascii="宋体" w:hAnsi="宋体" w:hint="eastAsia"/>
          <w:szCs w:val="21"/>
        </w:rPr>
        <w:t>市场</w:t>
      </w:r>
      <w:r w:rsidRPr="009566FE">
        <w:rPr>
          <w:rFonts w:ascii="宋体" w:hAnsi="宋体" w:hint="eastAsia"/>
          <w:szCs w:val="21"/>
        </w:rPr>
        <w:t>风险、早偿风险、</w:t>
      </w:r>
      <w:r w:rsidRPr="009566FE">
        <w:rPr>
          <w:rFonts w:ascii="宋体" w:hAnsi="宋体"/>
          <w:szCs w:val="21"/>
        </w:rPr>
        <w:t>信用风险</w:t>
      </w:r>
      <w:r>
        <w:rPr>
          <w:rFonts w:ascii="宋体" w:hAnsi="宋体" w:hint="eastAsia"/>
          <w:szCs w:val="21"/>
        </w:rPr>
        <w:t>等</w:t>
      </w:r>
      <w:r w:rsidRPr="00AC1DC6">
        <w:rPr>
          <w:rFonts w:ascii="宋体" w:hAnsi="宋体" w:hint="eastAsia"/>
          <w:szCs w:val="21"/>
        </w:rPr>
        <w:t>，在极端市场情况下，若产品到期发生投资组合项下投资标的完全损失的最不利情况，投资者将损失全部本金。</w:t>
      </w:r>
    </w:p>
    <w:p w:rsidR="00A7035B" w:rsidRPr="00AC1DC6" w:rsidRDefault="00A7035B" w:rsidP="00FC12A3">
      <w:pPr>
        <w:adjustRightInd w:val="0"/>
        <w:snapToGrid w:val="0"/>
        <w:spacing w:line="353" w:lineRule="auto"/>
        <w:ind w:firstLine="420"/>
        <w:rPr>
          <w:rFonts w:ascii="宋体" w:hAnsi="宋体"/>
          <w:szCs w:val="21"/>
        </w:rPr>
      </w:pPr>
      <w:r>
        <w:rPr>
          <w:rFonts w:ascii="宋体" w:hAnsi="宋体" w:hint="eastAsia"/>
          <w:szCs w:val="21"/>
        </w:rPr>
        <w:t>根据</w:t>
      </w:r>
      <w:r w:rsidRPr="00AC1DC6">
        <w:rPr>
          <w:rFonts w:ascii="宋体" w:hAnsi="宋体" w:hint="eastAsia"/>
          <w:szCs w:val="21"/>
        </w:rPr>
        <w:t>温州银行</w:t>
      </w:r>
      <w:r>
        <w:rPr>
          <w:rFonts w:ascii="宋体" w:hAnsi="宋体" w:hint="eastAsia"/>
          <w:szCs w:val="21"/>
        </w:rPr>
        <w:t>对本产品的内部风险评级结果，理财本金及实际理财收益率因市场变动而蒙受损失的概率较低，您应充分认识投资风险，谨慎投资。</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三、在您签约购买本理财产品前，应当仔细阅读本风险揭示书、</w:t>
      </w:r>
      <w:r w:rsidRPr="007D28BD">
        <w:rPr>
          <w:rFonts w:ascii="宋体" w:hAnsi="宋体" w:hint="eastAsia"/>
          <w:szCs w:val="21"/>
        </w:rPr>
        <w:t>《温州银行“金鹿理财”银行理财计划合约》、《温州银行“金鹿理财</w:t>
      </w:r>
      <w:r>
        <w:rPr>
          <w:rFonts w:ascii="宋体" w:hAnsi="宋体" w:hint="eastAsia"/>
          <w:szCs w:val="21"/>
        </w:rPr>
        <w:t>-乐得富</w:t>
      </w:r>
      <w:r w:rsidRPr="007D28BD">
        <w:rPr>
          <w:rFonts w:ascii="宋体" w:hAnsi="宋体" w:hint="eastAsia"/>
          <w:szCs w:val="21"/>
        </w:rPr>
        <w:t>”</w:t>
      </w:r>
      <w:r w:rsidR="004359A0">
        <w:rPr>
          <w:rFonts w:ascii="宋体" w:hAnsi="宋体" w:hint="eastAsia"/>
          <w:szCs w:val="21"/>
        </w:rPr>
        <w:t>19028</w:t>
      </w:r>
      <w:r w:rsidRPr="007D28BD">
        <w:rPr>
          <w:rFonts w:ascii="宋体" w:hAnsi="宋体" w:hint="eastAsia"/>
          <w:szCs w:val="21"/>
        </w:rPr>
        <w:t>期银行理财计划产品说明书》和《</w:t>
      </w:r>
      <w:r w:rsidRPr="007D28BD">
        <w:rPr>
          <w:rFonts w:ascii="宋体" w:hAnsi="宋体"/>
          <w:szCs w:val="21"/>
        </w:rPr>
        <w:t>温州银行理财产品投资者权益须知</w:t>
      </w:r>
      <w:r w:rsidRPr="007D28BD">
        <w:rPr>
          <w:rFonts w:ascii="宋体" w:hAnsi="宋体" w:hint="eastAsia"/>
          <w:szCs w:val="21"/>
        </w:rPr>
        <w:t>》</w:t>
      </w:r>
      <w:r>
        <w:rPr>
          <w:rFonts w:ascii="宋体" w:hAnsi="宋体" w:hint="eastAsia"/>
          <w:szCs w:val="21"/>
        </w:rPr>
        <w:t>，这些销售文件将共同构成客户与银行之间的理财交易合同。同时您还应向销售银行详细了解本产品的产品特性、资金投向、风险揭示内容及风险管控措施等内容。</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您对本风险揭示书、</w:t>
      </w:r>
      <w:r w:rsidRPr="00CD50B2">
        <w:rPr>
          <w:rFonts w:ascii="宋体" w:hAnsi="宋体" w:hint="eastAsia"/>
          <w:szCs w:val="21"/>
        </w:rPr>
        <w:t>理财</w:t>
      </w:r>
      <w:r>
        <w:rPr>
          <w:rFonts w:ascii="宋体" w:hAnsi="宋体" w:hint="eastAsia"/>
          <w:szCs w:val="21"/>
        </w:rPr>
        <w:t>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示。</w:t>
      </w:r>
    </w:p>
    <w:p w:rsidR="00A7035B" w:rsidRDefault="00A7035B" w:rsidP="00FC12A3">
      <w:pPr>
        <w:adjustRightInd w:val="0"/>
        <w:snapToGrid w:val="0"/>
        <w:spacing w:line="353" w:lineRule="auto"/>
        <w:ind w:firstLineChars="2700" w:firstLine="5670"/>
        <w:rPr>
          <w:rFonts w:ascii="宋体" w:hAnsi="宋体"/>
          <w:szCs w:val="21"/>
        </w:rPr>
      </w:pPr>
      <w:r>
        <w:rPr>
          <w:rFonts w:ascii="宋体" w:hAnsi="宋体" w:hint="eastAsia"/>
          <w:szCs w:val="21"/>
        </w:rPr>
        <w:t>风险揭示方：温州银行股份有限公司</w:t>
      </w:r>
    </w:p>
    <w:p w:rsidR="00A7035B" w:rsidRPr="00C74C7E" w:rsidRDefault="00A7035B" w:rsidP="00FC12A3">
      <w:pPr>
        <w:adjustRightInd w:val="0"/>
        <w:snapToGrid w:val="0"/>
        <w:spacing w:before="240" w:line="353" w:lineRule="auto"/>
        <w:jc w:val="center"/>
        <w:rPr>
          <w:rFonts w:ascii="宋体" w:hAnsi="宋体"/>
          <w:b/>
          <w:sz w:val="28"/>
          <w:szCs w:val="28"/>
        </w:rPr>
      </w:pPr>
      <w:r w:rsidRPr="00C74C7E">
        <w:rPr>
          <w:rFonts w:ascii="宋体" w:hAnsi="宋体" w:hint="eastAsia"/>
          <w:b/>
          <w:sz w:val="28"/>
          <w:szCs w:val="28"/>
        </w:rPr>
        <w:t>客户确认栏</w:t>
      </w:r>
    </w:p>
    <w:p w:rsidR="00A7035B" w:rsidRPr="000C02F5" w:rsidRDefault="00A7035B" w:rsidP="00FC12A3">
      <w:pPr>
        <w:adjustRightInd w:val="0"/>
        <w:snapToGrid w:val="0"/>
        <w:spacing w:line="353" w:lineRule="auto"/>
        <w:rPr>
          <w:b/>
          <w:szCs w:val="21"/>
        </w:rPr>
      </w:pPr>
      <w:r w:rsidRPr="000C02F5">
        <w:rPr>
          <w:rFonts w:hint="eastAsia"/>
          <w:b/>
          <w:szCs w:val="21"/>
        </w:rPr>
        <w:t>本人经温州银行评估的风险承受能力等级为（客户填写）：</w:t>
      </w:r>
    </w:p>
    <w:p w:rsidR="00A7035B" w:rsidRPr="000C02F5" w:rsidRDefault="00A7035B" w:rsidP="00FC12A3">
      <w:pPr>
        <w:adjustRightInd w:val="0"/>
        <w:snapToGrid w:val="0"/>
        <w:spacing w:line="353" w:lineRule="auto"/>
        <w:ind w:firstLineChars="150" w:firstLine="315"/>
        <w:rPr>
          <w:rFonts w:ascii="宋体" w:hAnsi="宋体"/>
          <w:szCs w:val="21"/>
          <w:u w:val="single"/>
        </w:rPr>
      </w:pPr>
      <w:r w:rsidRPr="000C02F5">
        <w:rPr>
          <w:rFonts w:ascii="宋体" w:hAnsi="宋体" w:hint="eastAsia"/>
          <w:szCs w:val="21"/>
          <w:u w:val="single"/>
        </w:rPr>
        <w:t>□保守型           □稳健型           □平衡型           □进取型</w:t>
      </w:r>
      <w:r>
        <w:rPr>
          <w:rFonts w:ascii="宋体" w:hAnsi="宋体" w:hint="eastAsia"/>
          <w:szCs w:val="21"/>
          <w:u w:val="single"/>
        </w:rPr>
        <w:t xml:space="preserve">          </w:t>
      </w:r>
      <w:r w:rsidRPr="000C02F5">
        <w:rPr>
          <w:rFonts w:ascii="宋体" w:hAnsi="宋体" w:hint="eastAsia"/>
          <w:szCs w:val="21"/>
          <w:u w:val="single"/>
        </w:rPr>
        <w:t>□激进型</w:t>
      </w:r>
    </w:p>
    <w:p w:rsidR="00241399" w:rsidRPr="000C02F5" w:rsidRDefault="00241399" w:rsidP="00FC12A3">
      <w:pPr>
        <w:adjustRightInd w:val="0"/>
        <w:snapToGrid w:val="0"/>
        <w:spacing w:line="353" w:lineRule="auto"/>
        <w:rPr>
          <w:szCs w:val="21"/>
        </w:rPr>
      </w:pPr>
      <w:r w:rsidRPr="000C02F5">
        <w:rPr>
          <w:rFonts w:hint="eastAsia"/>
          <w:szCs w:val="21"/>
        </w:rPr>
        <w:t>（客户需全文抄录以下文字以完成确认：“</w:t>
      </w:r>
      <w:r w:rsidRPr="006D2F7F">
        <w:rPr>
          <w:rFonts w:hint="eastAsia"/>
          <w:b/>
          <w:szCs w:val="21"/>
        </w:rPr>
        <w:t>本人已经阅读上述风险提示，愿意承担投资风险</w:t>
      </w:r>
      <w:r w:rsidRPr="000C02F5">
        <w:rPr>
          <w:rFonts w:hint="eastAsia"/>
          <w:szCs w:val="21"/>
        </w:rPr>
        <w:t>”</w:t>
      </w:r>
      <w:r>
        <w:rPr>
          <w:rFonts w:hint="eastAsia"/>
          <w:szCs w:val="21"/>
        </w:rPr>
        <w:t>。</w:t>
      </w:r>
      <w:r w:rsidRPr="000C02F5">
        <w:rPr>
          <w:rFonts w:hint="eastAsia"/>
          <w:szCs w:val="21"/>
        </w:rPr>
        <w:t>）</w:t>
      </w:r>
    </w:p>
    <w:p w:rsidR="00A7035B" w:rsidRPr="000C02F5" w:rsidRDefault="00A7035B" w:rsidP="00FC12A3">
      <w:pPr>
        <w:adjustRightInd w:val="0"/>
        <w:snapToGrid w:val="0"/>
        <w:spacing w:line="353" w:lineRule="auto"/>
        <w:rPr>
          <w:rFonts w:ascii="宋体" w:hAnsi="宋体"/>
          <w:b/>
          <w:szCs w:val="21"/>
        </w:rPr>
      </w:pPr>
      <w:r w:rsidRPr="000C02F5">
        <w:rPr>
          <w:rFonts w:ascii="宋体" w:hAnsi="宋体" w:hint="eastAsia"/>
          <w:b/>
          <w:szCs w:val="21"/>
        </w:rPr>
        <w:t>本人同时确认如下：</w:t>
      </w:r>
      <w:r w:rsidRPr="000C02F5">
        <w:rPr>
          <w:rFonts w:ascii="宋体" w:hAnsi="宋体" w:hint="eastAsia"/>
          <w:b/>
          <w:szCs w:val="21"/>
          <w:u w:val="single"/>
        </w:rPr>
        <w:t xml:space="preserve">                          </w:t>
      </w:r>
      <w:r>
        <w:rPr>
          <w:rFonts w:ascii="宋体" w:hAnsi="宋体" w:hint="eastAsia"/>
          <w:b/>
          <w:szCs w:val="21"/>
          <w:u w:val="single"/>
        </w:rPr>
        <w:t xml:space="preserve">                                          </w:t>
      </w:r>
    </w:p>
    <w:p w:rsidR="00A7035B" w:rsidRPr="000C02F5" w:rsidRDefault="00A7035B" w:rsidP="00FC12A3">
      <w:pPr>
        <w:adjustRightInd w:val="0"/>
        <w:snapToGrid w:val="0"/>
        <w:spacing w:line="353" w:lineRule="auto"/>
        <w:rPr>
          <w:b/>
          <w:szCs w:val="21"/>
        </w:rPr>
      </w:pPr>
      <w:r w:rsidRPr="000C02F5">
        <w:rPr>
          <w:rFonts w:hint="eastAsia"/>
          <w:b/>
          <w:szCs w:val="21"/>
          <w:u w:val="single"/>
        </w:rPr>
        <w:t xml:space="preserve">                                                                           </w:t>
      </w:r>
      <w:r>
        <w:rPr>
          <w:rFonts w:hint="eastAsia"/>
          <w:b/>
          <w:szCs w:val="21"/>
          <w:u w:val="single"/>
        </w:rPr>
        <w:t xml:space="preserve">      </w:t>
      </w:r>
      <w:r w:rsidRPr="000C02F5">
        <w:rPr>
          <w:rFonts w:hint="eastAsia"/>
          <w:szCs w:val="21"/>
        </w:rPr>
        <w:t>。</w:t>
      </w:r>
    </w:p>
    <w:p w:rsidR="00A7035B" w:rsidRPr="000C02F5" w:rsidRDefault="00A7035B" w:rsidP="00FC12A3">
      <w:pPr>
        <w:adjustRightInd w:val="0"/>
        <w:snapToGrid w:val="0"/>
        <w:spacing w:line="353" w:lineRule="auto"/>
        <w:rPr>
          <w:b/>
          <w:szCs w:val="21"/>
          <w:u w:val="single"/>
        </w:rPr>
      </w:pPr>
    </w:p>
    <w:p w:rsidR="00A7035B" w:rsidRPr="000C02F5" w:rsidRDefault="00A7035B" w:rsidP="00FC12A3">
      <w:pPr>
        <w:adjustRightInd w:val="0"/>
        <w:snapToGrid w:val="0"/>
        <w:spacing w:line="353" w:lineRule="auto"/>
        <w:ind w:firstLineChars="400" w:firstLine="840"/>
        <w:rPr>
          <w:rFonts w:ascii="宋体" w:hAnsi="宋体"/>
          <w:szCs w:val="21"/>
        </w:rPr>
      </w:pPr>
      <w:r w:rsidRPr="000C02F5">
        <w:rPr>
          <w:rFonts w:ascii="宋体" w:hAnsi="宋体" w:hint="eastAsia"/>
          <w:szCs w:val="21"/>
        </w:rPr>
        <w:t xml:space="preserve">确认人（签字）：                           </w:t>
      </w:r>
      <w:r>
        <w:rPr>
          <w:rFonts w:ascii="宋体" w:hAnsi="宋体" w:hint="eastAsia"/>
          <w:szCs w:val="21"/>
        </w:rPr>
        <w:t xml:space="preserve"> </w:t>
      </w:r>
      <w:r w:rsidRPr="000C02F5">
        <w:rPr>
          <w:rFonts w:ascii="宋体" w:hAnsi="宋体" w:hint="eastAsia"/>
          <w:szCs w:val="21"/>
        </w:rPr>
        <w:t xml:space="preserve">   日期：</w:t>
      </w:r>
      <w:r>
        <w:rPr>
          <w:rFonts w:ascii="宋体" w:hAnsi="宋体" w:hint="eastAsia"/>
          <w:szCs w:val="21"/>
          <w:u w:val="single"/>
        </w:rPr>
        <w:t xml:space="preserve">        </w:t>
      </w:r>
      <w:r w:rsidRPr="000C02F5">
        <w:rPr>
          <w:rFonts w:ascii="宋体" w:hAnsi="宋体" w:hint="eastAsia"/>
          <w:szCs w:val="21"/>
        </w:rPr>
        <w:t>年</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u w:val="single"/>
        </w:rPr>
        <w:t xml:space="preserve"> </w:t>
      </w:r>
      <w:r w:rsidRPr="000C02F5">
        <w:rPr>
          <w:rFonts w:ascii="宋体" w:hAnsi="宋体" w:hint="eastAsia"/>
          <w:szCs w:val="21"/>
        </w:rPr>
        <w:t>月</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rPr>
        <w:t>日</w:t>
      </w:r>
    </w:p>
    <w:p w:rsidR="00A7035B" w:rsidRPr="00B052A4" w:rsidRDefault="00DA1B16" w:rsidP="00FC12A3">
      <w:pPr>
        <w:pStyle w:val="msonormalcxspmiddle"/>
        <w:adjustRightInd w:val="0"/>
        <w:snapToGrid w:val="0"/>
        <w:spacing w:before="0" w:beforeAutospacing="0" w:after="0" w:afterAutospacing="0" w:line="360" w:lineRule="auto"/>
        <w:jc w:val="center"/>
        <w:rPr>
          <w:rFonts w:ascii="黑体" w:eastAsia="黑体"/>
          <w:bCs/>
          <w:sz w:val="30"/>
          <w:szCs w:val="30"/>
        </w:rPr>
      </w:pPr>
      <w:r>
        <w:rPr>
          <w:rFonts w:ascii="黑体" w:eastAsia="黑体"/>
          <w:bCs/>
          <w:sz w:val="30"/>
          <w:szCs w:val="30"/>
        </w:rPr>
        <w:br w:type="page"/>
      </w:r>
      <w:r w:rsidR="00A7035B" w:rsidRPr="00B052A4">
        <w:rPr>
          <w:rFonts w:ascii="黑体" w:eastAsia="黑体" w:hint="eastAsia"/>
          <w:bCs/>
          <w:sz w:val="30"/>
          <w:szCs w:val="30"/>
        </w:rPr>
        <w:lastRenderedPageBreak/>
        <w:t>温州银行“金鹿理财</w:t>
      </w:r>
      <w:r w:rsidR="00A7035B">
        <w:rPr>
          <w:rFonts w:ascii="黑体" w:eastAsia="黑体" w:hint="eastAsia"/>
          <w:bCs/>
          <w:sz w:val="30"/>
          <w:szCs w:val="30"/>
        </w:rPr>
        <w:t>-乐得富</w:t>
      </w:r>
      <w:r w:rsidR="00A7035B" w:rsidRPr="00B052A4">
        <w:rPr>
          <w:rFonts w:ascii="黑体" w:eastAsia="黑体" w:hint="eastAsia"/>
          <w:bCs/>
          <w:sz w:val="30"/>
          <w:szCs w:val="30"/>
        </w:rPr>
        <w:t>”</w:t>
      </w:r>
      <w:r w:rsidR="004359A0">
        <w:rPr>
          <w:rFonts w:ascii="黑体" w:eastAsia="黑体" w:hint="eastAsia"/>
          <w:bCs/>
          <w:sz w:val="30"/>
          <w:szCs w:val="30"/>
          <w:u w:val="single"/>
        </w:rPr>
        <w:t>19028</w:t>
      </w:r>
      <w:r w:rsidR="00A7035B" w:rsidRPr="00B052A4">
        <w:rPr>
          <w:rFonts w:ascii="黑体" w:eastAsia="黑体" w:hint="eastAsia"/>
          <w:bCs/>
          <w:sz w:val="30"/>
          <w:szCs w:val="30"/>
          <w:u w:val="single"/>
        </w:rPr>
        <w:t>期</w:t>
      </w:r>
      <w:r w:rsidR="00A7035B" w:rsidRPr="00B052A4">
        <w:rPr>
          <w:rFonts w:ascii="黑体" w:eastAsia="黑体" w:hint="eastAsia"/>
          <w:bCs/>
          <w:sz w:val="30"/>
          <w:szCs w:val="30"/>
        </w:rPr>
        <w:t>银行理财计划产品说明书</w:t>
      </w:r>
    </w:p>
    <w:p w:rsidR="00A7035B" w:rsidRPr="00664EB0" w:rsidRDefault="00A7035B" w:rsidP="00221C9E">
      <w:pPr>
        <w:adjustRightInd w:val="0"/>
        <w:snapToGrid w:val="0"/>
        <w:spacing w:before="120" w:line="288" w:lineRule="auto"/>
        <w:rPr>
          <w:b/>
          <w:sz w:val="18"/>
          <w:szCs w:val="18"/>
        </w:rPr>
      </w:pPr>
      <w:r w:rsidRPr="00664EB0">
        <w:rPr>
          <w:rFonts w:hint="eastAsia"/>
          <w:b/>
          <w:sz w:val="18"/>
          <w:szCs w:val="18"/>
        </w:rPr>
        <w:t>重要须知</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本产品与银行存款存在明显区别，具有一定的风险。</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本产品适合于无投资经验投资者和有投资经验投资者。</w:t>
      </w:r>
    </w:p>
    <w:p w:rsidR="00A7035B" w:rsidRPr="00664EB0" w:rsidRDefault="00A7035B" w:rsidP="00221C9E">
      <w:pPr>
        <w:adjustRightInd w:val="0"/>
        <w:snapToGrid w:val="0"/>
        <w:spacing w:line="288" w:lineRule="auto"/>
        <w:rPr>
          <w:b/>
          <w:sz w:val="18"/>
          <w:szCs w:val="18"/>
        </w:rPr>
      </w:pPr>
      <w:r w:rsidRPr="00664EB0">
        <w:rPr>
          <w:b/>
          <w:sz w:val="18"/>
          <w:szCs w:val="18"/>
        </w:rPr>
        <w:t xml:space="preserve">*** </w:t>
      </w:r>
      <w:r w:rsidRPr="00664EB0">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sidRPr="00664EB0">
        <w:rPr>
          <w:sz w:val="18"/>
          <w:szCs w:val="18"/>
        </w:rPr>
        <w:t>0577-96699</w:t>
      </w:r>
      <w:r w:rsidRPr="00664EB0">
        <w:rPr>
          <w:rFonts w:hint="eastAsia"/>
          <w:sz w:val="18"/>
          <w:szCs w:val="18"/>
        </w:rPr>
        <w:t>）。</w:t>
      </w:r>
    </w:p>
    <w:p w:rsidR="00A7035B" w:rsidRPr="00664EB0" w:rsidRDefault="00A7035B" w:rsidP="00221C9E">
      <w:pPr>
        <w:adjustRightInd w:val="0"/>
        <w:snapToGrid w:val="0"/>
        <w:spacing w:line="288" w:lineRule="auto"/>
        <w:rPr>
          <w:b/>
          <w:sz w:val="18"/>
          <w:szCs w:val="18"/>
        </w:rPr>
      </w:pPr>
      <w:r w:rsidRPr="00664EB0">
        <w:rPr>
          <w:rFonts w:hint="eastAsia"/>
          <w:b/>
          <w:sz w:val="18"/>
          <w:szCs w:val="18"/>
        </w:rPr>
        <w:t>释义</w:t>
      </w:r>
    </w:p>
    <w:p w:rsidR="00A7035B" w:rsidRPr="00664EB0" w:rsidRDefault="00A7035B" w:rsidP="00221C9E">
      <w:pPr>
        <w:adjustRightInd w:val="0"/>
        <w:snapToGrid w:val="0"/>
        <w:spacing w:line="288" w:lineRule="auto"/>
        <w:rPr>
          <w:sz w:val="18"/>
          <w:szCs w:val="18"/>
        </w:rPr>
      </w:pPr>
      <w:r w:rsidRPr="00664EB0">
        <w:rPr>
          <w:rFonts w:hint="eastAsia"/>
          <w:sz w:val="18"/>
          <w:szCs w:val="18"/>
        </w:rPr>
        <w:t>本说明书中，除非另有明确说明，否则下列词语或简称具有如下含义：</w:t>
      </w:r>
    </w:p>
    <w:p w:rsidR="00A7035B" w:rsidRPr="00664EB0" w:rsidRDefault="00A7035B" w:rsidP="00221C9E">
      <w:pPr>
        <w:adjustRightInd w:val="0"/>
        <w:snapToGrid w:val="0"/>
        <w:spacing w:line="288" w:lineRule="auto"/>
        <w:rPr>
          <w:sz w:val="18"/>
          <w:szCs w:val="18"/>
        </w:rPr>
      </w:pPr>
      <w:r w:rsidRPr="00664EB0">
        <w:rPr>
          <w:rFonts w:hint="eastAsia"/>
          <w:sz w:val="18"/>
          <w:szCs w:val="18"/>
        </w:rPr>
        <w:t>产品：指</w:t>
      </w:r>
      <w:r w:rsidRPr="002F32E5">
        <w:rPr>
          <w:rFonts w:hint="eastAsia"/>
          <w:sz w:val="18"/>
          <w:szCs w:val="18"/>
        </w:rPr>
        <w:t>“金鹿理财</w:t>
      </w:r>
      <w:r w:rsidRPr="00DC77BA">
        <w:rPr>
          <w:rFonts w:ascii="宋体" w:hAnsi="宋体" w:hint="eastAsia"/>
          <w:sz w:val="18"/>
          <w:szCs w:val="18"/>
        </w:rPr>
        <w:t>-</w:t>
      </w:r>
      <w:r>
        <w:rPr>
          <w:rFonts w:hint="eastAsia"/>
          <w:sz w:val="18"/>
          <w:szCs w:val="18"/>
        </w:rPr>
        <w:t>乐得富</w:t>
      </w:r>
      <w:r w:rsidRPr="000C3679">
        <w:rPr>
          <w:rFonts w:hint="eastAsia"/>
          <w:sz w:val="18"/>
          <w:szCs w:val="18"/>
        </w:rPr>
        <w:t>”</w:t>
      </w:r>
      <w:r w:rsidR="004359A0">
        <w:rPr>
          <w:rFonts w:hint="eastAsia"/>
          <w:sz w:val="18"/>
          <w:szCs w:val="18"/>
        </w:rPr>
        <w:t>19028</w:t>
      </w:r>
      <w:r w:rsidRPr="000C3679">
        <w:rPr>
          <w:rFonts w:hint="eastAsia"/>
          <w:sz w:val="18"/>
          <w:szCs w:val="18"/>
        </w:rPr>
        <w:t>期</w:t>
      </w:r>
      <w:r w:rsidRPr="002F32E5">
        <w:rPr>
          <w:rFonts w:hint="eastAsia"/>
          <w:sz w:val="18"/>
          <w:szCs w:val="18"/>
        </w:rPr>
        <w:t>银行理财计划</w:t>
      </w:r>
    </w:p>
    <w:p w:rsidR="00A7035B" w:rsidRPr="00664EB0" w:rsidRDefault="00A7035B" w:rsidP="00221C9E">
      <w:pPr>
        <w:adjustRightInd w:val="0"/>
        <w:snapToGrid w:val="0"/>
        <w:spacing w:line="288" w:lineRule="auto"/>
        <w:rPr>
          <w:sz w:val="18"/>
          <w:szCs w:val="18"/>
        </w:rPr>
      </w:pPr>
      <w:r w:rsidRPr="00664EB0">
        <w:rPr>
          <w:rFonts w:hint="eastAsia"/>
          <w:sz w:val="18"/>
          <w:szCs w:val="18"/>
        </w:rPr>
        <w:t>发行银行：指温州银行股份有限公司</w:t>
      </w:r>
    </w:p>
    <w:p w:rsidR="00A7035B" w:rsidRDefault="00A7035B" w:rsidP="00221C9E">
      <w:pPr>
        <w:adjustRightInd w:val="0"/>
        <w:snapToGrid w:val="0"/>
        <w:spacing w:line="288" w:lineRule="auto"/>
        <w:rPr>
          <w:sz w:val="18"/>
          <w:szCs w:val="18"/>
        </w:rPr>
      </w:pPr>
      <w:r w:rsidRPr="00664EB0">
        <w:rPr>
          <w:rFonts w:hint="eastAsia"/>
          <w:sz w:val="18"/>
          <w:szCs w:val="18"/>
        </w:rPr>
        <w:t>销售银行：指直销银行和代销银行。直销银行指温州银行股份有限公司。本产品无代销银行。</w:t>
      </w:r>
    </w:p>
    <w:p w:rsidR="00A7035B" w:rsidRDefault="00A7035B" w:rsidP="00A7035B">
      <w:pPr>
        <w:widowControl/>
        <w:adjustRightInd w:val="0"/>
        <w:snapToGrid w:val="0"/>
        <w:spacing w:line="300" w:lineRule="auto"/>
        <w:outlineLvl w:val="0"/>
        <w:rPr>
          <w:b/>
          <w:sz w:val="18"/>
          <w:szCs w:val="18"/>
        </w:rPr>
      </w:pPr>
      <w:r>
        <w:rPr>
          <w:rFonts w:hint="eastAsia"/>
          <w:b/>
          <w:sz w:val="18"/>
          <w:szCs w:val="18"/>
        </w:rPr>
        <w:t>产品风险评级：</w:t>
      </w:r>
      <w:r>
        <w:rPr>
          <w:rFonts w:hint="eastAsia"/>
          <w:b/>
          <w:sz w:val="18"/>
          <w:szCs w:val="18"/>
        </w:rPr>
        <w:t>PR2</w:t>
      </w:r>
    </w:p>
    <w:p w:rsidR="00A7035B" w:rsidRDefault="00A7035B" w:rsidP="00A7035B">
      <w:pPr>
        <w:widowControl/>
        <w:adjustRightInd w:val="0"/>
        <w:snapToGrid w:val="0"/>
        <w:spacing w:line="300" w:lineRule="auto"/>
        <w:outlineLvl w:val="0"/>
        <w:rPr>
          <w:b/>
          <w:sz w:val="18"/>
          <w:szCs w:val="18"/>
        </w:rPr>
      </w:pPr>
    </w:p>
    <w:tbl>
      <w:tblPr>
        <w:tblpPr w:leftFromText="180" w:rightFromText="180" w:vertAnchor="text" w:horzAnchor="page" w:tblpX="6768"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1418"/>
      </w:tblGrid>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5</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激进型产品</w:t>
            </w:r>
          </w:p>
        </w:tc>
      </w:tr>
      <w:tr w:rsidR="00A7035B" w:rsidRPr="001B4A76" w:rsidTr="009F4841">
        <w:trPr>
          <w:trHeight w:val="44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4</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进取型产品</w:t>
            </w:r>
          </w:p>
        </w:tc>
      </w:tr>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3</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平衡型产品</w:t>
            </w:r>
          </w:p>
        </w:tc>
      </w:tr>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2</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稳健型产品</w:t>
            </w:r>
          </w:p>
        </w:tc>
      </w:tr>
      <w:tr w:rsidR="00A7035B" w:rsidRPr="001B4A76" w:rsidTr="009F4841">
        <w:trPr>
          <w:trHeight w:val="481"/>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PR1</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谨慎型产品</w:t>
            </w:r>
          </w:p>
        </w:tc>
      </w:tr>
    </w:tbl>
    <w:p w:rsidR="00A7035B" w:rsidRDefault="00573B14" w:rsidP="00A7035B">
      <w:pPr>
        <w:widowControl/>
        <w:adjustRightInd w:val="0"/>
        <w:snapToGrid w:val="0"/>
        <w:spacing w:line="300" w:lineRule="auto"/>
        <w:outlineLvl w:val="0"/>
        <w:rPr>
          <w:b/>
          <w:sz w:val="18"/>
          <w:szCs w:val="18"/>
        </w:rPr>
      </w:pPr>
      <w:r>
        <w:rPr>
          <w:b/>
          <w:noProof/>
          <w:sz w:val="18"/>
          <w:szCs w:val="18"/>
        </w:rPr>
        <w:pict>
          <v:shapetype id="_x0000_t202" coordsize="21600,21600" o:spt="202" path="m,l,21600r21600,l21600,xe">
            <v:stroke joinstyle="miter"/>
            <v:path gradientshapeok="t" o:connecttype="rect"/>
          </v:shapetype>
          <v:shape id="_x0000_s1036" type="#_x0000_t202" style="position:absolute;left:0;text-align:left;margin-left:-4.55pt;margin-top:17.3pt;width:30.7pt;height:72.15pt;z-index:251657216;mso-position-horizontal-relative:text;mso-position-vertical-relative:text" stroked="f">
            <v:textbox style="layout-flow:vertical-ideographic;mso-next-textbox:#_x0000_s1036">
              <w:txbxContent>
                <w:p w:rsidR="00A7035B" w:rsidRDefault="00DE4257" w:rsidP="00A7035B">
                  <w:r>
                    <w:rPr>
                      <w:rFonts w:hint="eastAsia"/>
                    </w:rPr>
                    <w:t>业绩比较基准</w:t>
                  </w:r>
                </w:p>
              </w:txbxContent>
            </v:textbox>
          </v:shape>
        </w:pict>
      </w:r>
      <w:r>
        <w:rPr>
          <w:b/>
          <w:sz w:val="18"/>
          <w:szCs w:val="18"/>
        </w:rPr>
      </w:r>
      <w:r>
        <w:rPr>
          <w:b/>
          <w:sz w:val="18"/>
          <w:szCs w:val="18"/>
        </w:rPr>
        <w:pict>
          <v:group id="_x0000_s1026" editas="canvas" style="width:309.4pt;height:149.3pt;mso-position-horizontal-relative:char;mso-position-vertical-relative:line" coordorigin="1998,9488" coordsize="6188,298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998;top:9488;width:6188;height:2986" o:preferrelative="f">
              <v:fill o:detectmouseclick="t"/>
              <v:path o:extrusionok="t" o:connecttype="none"/>
              <o:lock v:ext="edit" text="t"/>
            </v:shape>
            <v:line id="_x0000_s1028" style="position:absolute" from="2252,12049" to="7706,12050">
              <v:stroke endarrow="block"/>
            </v:line>
            <v:line id="_x0000_s1029" style="position:absolute;flip:y" from="2612,9488" to="2613,12423">
              <v:stroke endarrow="block"/>
            </v:line>
            <v:rect id="_x0000_s1030" style="position:absolute;left:2791;top:11425;width:803;height:468">
              <v:textbox style="mso-next-textbox:#_x0000_s1030">
                <w:txbxContent>
                  <w:p w:rsidR="00A7035B" w:rsidRPr="002B7AF8" w:rsidRDefault="00A7035B" w:rsidP="00A7035B">
                    <w:pPr>
                      <w:ind w:firstLineChars="49" w:firstLine="89"/>
                      <w:rPr>
                        <w:b/>
                        <w:sz w:val="18"/>
                        <w:szCs w:val="18"/>
                      </w:rPr>
                    </w:pPr>
                    <w:r w:rsidRPr="002B7AF8">
                      <w:rPr>
                        <w:rFonts w:hint="eastAsia"/>
                        <w:b/>
                        <w:sz w:val="18"/>
                        <w:szCs w:val="18"/>
                      </w:rPr>
                      <w:t>PR1</w:t>
                    </w:r>
                  </w:p>
                </w:txbxContent>
              </v:textbox>
            </v:rect>
            <v:rect id="_x0000_s1031" style="position:absolute;left:3603;top:10957;width:808;height:468" fillcolor="yellow">
              <v:textbox style="mso-next-textbox:#_x0000_s1031">
                <w:txbxContent>
                  <w:p w:rsidR="00A7035B" w:rsidRPr="002B7AF8" w:rsidRDefault="00A7035B" w:rsidP="00A7035B">
                    <w:pPr>
                      <w:ind w:firstLineChars="49" w:firstLine="89"/>
                      <w:rPr>
                        <w:b/>
                        <w:sz w:val="18"/>
                        <w:szCs w:val="18"/>
                      </w:rPr>
                    </w:pPr>
                    <w:r w:rsidRPr="002B7AF8">
                      <w:rPr>
                        <w:rFonts w:hint="eastAsia"/>
                        <w:b/>
                        <w:sz w:val="18"/>
                        <w:szCs w:val="18"/>
                      </w:rPr>
                      <w:t>PR</w:t>
                    </w:r>
                    <w:r>
                      <w:rPr>
                        <w:rFonts w:hint="eastAsia"/>
                        <w:b/>
                        <w:sz w:val="18"/>
                        <w:szCs w:val="18"/>
                      </w:rPr>
                      <w:t>2</w:t>
                    </w:r>
                  </w:p>
                </w:txbxContent>
              </v:textbox>
            </v:rect>
            <v:rect id="_x0000_s1032" style="position:absolute;left:4413;top:10489;width:815;height:468">
              <v:textbox style="mso-next-textbox:#_x0000_s1032">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R3</w:t>
                    </w:r>
                  </w:p>
                </w:txbxContent>
              </v:textbox>
            </v:rect>
            <v:rect id="_x0000_s1033" style="position:absolute;left:5223;top:10021;width:823;height:468">
              <v:textbox style="mso-next-textbox:#_x0000_s1033">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R4</w:t>
                    </w:r>
                  </w:p>
                </w:txbxContent>
              </v:textbox>
            </v:rect>
            <v:rect id="_x0000_s1034" style="position:absolute;left:6046;top:9553;width:841;height:468">
              <v:textbox style="mso-next-textbox:#_x0000_s1034">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R5</w:t>
                    </w:r>
                  </w:p>
                </w:txbxContent>
              </v:textbox>
            </v:rect>
            <v:rect id="_x0000_s1035" style="position:absolute;left:5628;top:12088;width:2558;height:386" stroked="f">
              <v:textbox style="mso-next-textbox:#_x0000_s1035">
                <w:txbxContent>
                  <w:p w:rsidR="00A7035B" w:rsidRPr="00F4481E" w:rsidRDefault="00A7035B" w:rsidP="00A7035B">
                    <w:pPr>
                      <w:jc w:val="center"/>
                      <w:rPr>
                        <w:sz w:val="18"/>
                        <w:szCs w:val="18"/>
                      </w:rPr>
                    </w:pPr>
                    <w:r w:rsidRPr="00F4481E">
                      <w:rPr>
                        <w:rFonts w:hint="eastAsia"/>
                        <w:sz w:val="18"/>
                        <w:szCs w:val="18"/>
                      </w:rPr>
                      <w:t>风险程度</w:t>
                    </w:r>
                  </w:p>
                </w:txbxContent>
              </v:textbox>
            </v:rect>
            <w10:wrap type="none"/>
            <w10:anchorlock/>
          </v:group>
        </w:pict>
      </w:r>
    </w:p>
    <w:p w:rsidR="00A7035B" w:rsidRDefault="00A7035B" w:rsidP="00A7035B">
      <w:pPr>
        <w:adjustRightInd w:val="0"/>
        <w:snapToGrid w:val="0"/>
        <w:spacing w:line="300" w:lineRule="auto"/>
        <w:rPr>
          <w:sz w:val="18"/>
          <w:szCs w:val="18"/>
        </w:rPr>
      </w:pPr>
      <w:r w:rsidRPr="00347F96">
        <w:rPr>
          <w:rFonts w:hint="eastAsia"/>
          <w:sz w:val="18"/>
          <w:szCs w:val="18"/>
        </w:rPr>
        <w:t>产品风险评级由</w:t>
      </w:r>
      <w:r>
        <w:rPr>
          <w:rFonts w:hint="eastAsia"/>
          <w:sz w:val="18"/>
          <w:szCs w:val="18"/>
        </w:rPr>
        <w:t>温州</w:t>
      </w:r>
      <w:r w:rsidRPr="00347F96">
        <w:rPr>
          <w:rFonts w:hint="eastAsia"/>
          <w:sz w:val="18"/>
          <w:szCs w:val="18"/>
        </w:rPr>
        <w:t>银行根据产品投资对象、实际的风险控制情况、投资运作情况等合理确定。</w:t>
      </w:r>
      <w:r w:rsidRPr="00251650">
        <w:rPr>
          <w:rFonts w:hint="eastAsia"/>
          <w:sz w:val="18"/>
          <w:szCs w:val="18"/>
        </w:rPr>
        <w:t>根据</w:t>
      </w:r>
      <w:r>
        <w:rPr>
          <w:rFonts w:hint="eastAsia"/>
          <w:sz w:val="18"/>
          <w:szCs w:val="18"/>
        </w:rPr>
        <w:t>温州</w:t>
      </w:r>
      <w:r w:rsidRPr="00251650">
        <w:rPr>
          <w:rFonts w:hint="eastAsia"/>
          <w:sz w:val="18"/>
          <w:szCs w:val="18"/>
        </w:rPr>
        <w:t>银行内部风险评级标准，本产品的风险等级为</w:t>
      </w:r>
      <w:r>
        <w:rPr>
          <w:rFonts w:hint="eastAsia"/>
          <w:sz w:val="18"/>
          <w:szCs w:val="18"/>
        </w:rPr>
        <w:t>PR2</w:t>
      </w:r>
      <w:r w:rsidRPr="00251650">
        <w:rPr>
          <w:rFonts w:hint="eastAsia"/>
          <w:sz w:val="18"/>
          <w:szCs w:val="18"/>
        </w:rPr>
        <w:t>。该评级仅是</w:t>
      </w:r>
      <w:r>
        <w:rPr>
          <w:rFonts w:hint="eastAsia"/>
          <w:sz w:val="18"/>
          <w:szCs w:val="18"/>
        </w:rPr>
        <w:t>温州</w:t>
      </w:r>
      <w:r w:rsidRPr="00251650">
        <w:rPr>
          <w:rFonts w:hint="eastAsia"/>
          <w:sz w:val="18"/>
          <w:szCs w:val="18"/>
        </w:rPr>
        <w:t>银行内部测评结果，仅供投资者参考，不具有任何法律约束力。</w:t>
      </w:r>
    </w:p>
    <w:p w:rsidR="00A7035B" w:rsidRPr="00664EB0" w:rsidRDefault="00A7035B" w:rsidP="00A7035B">
      <w:pPr>
        <w:adjustRightInd w:val="0"/>
        <w:snapToGrid w:val="0"/>
        <w:spacing w:line="300" w:lineRule="auto"/>
        <w:rPr>
          <w:b/>
          <w:sz w:val="18"/>
          <w:szCs w:val="18"/>
        </w:rPr>
      </w:pPr>
      <w:r w:rsidRPr="00664EB0">
        <w:rPr>
          <w:rFonts w:hint="eastAsia"/>
          <w:b/>
          <w:sz w:val="18"/>
          <w:szCs w:val="18"/>
        </w:rPr>
        <w:t>产品概述</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45" w:type="dxa"/>
          <w:bottom w:w="45" w:type="dxa"/>
          <w:right w:w="45" w:type="dxa"/>
        </w:tblCellMar>
        <w:tblLook w:val="0000"/>
      </w:tblPr>
      <w:tblGrid>
        <w:gridCol w:w="1499"/>
        <w:gridCol w:w="7918"/>
      </w:tblGrid>
      <w:tr w:rsidR="00A7035B" w:rsidRPr="00664EB0" w:rsidTr="009F4841">
        <w:trPr>
          <w:trHeight w:val="253"/>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产品名称</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rPr>
              <w:t xml:space="preserve"> “金鹿理财</w:t>
            </w:r>
            <w:r>
              <w:rPr>
                <w:rFonts w:hint="eastAsia"/>
                <w:sz w:val="18"/>
                <w:szCs w:val="18"/>
              </w:rPr>
              <w:t>-乐得富</w:t>
            </w:r>
            <w:r w:rsidRPr="00CE39F5">
              <w:rPr>
                <w:rFonts w:hint="eastAsia"/>
                <w:sz w:val="18"/>
                <w:szCs w:val="18"/>
              </w:rPr>
              <w:t>”</w:t>
            </w:r>
            <w:r w:rsidR="004359A0">
              <w:rPr>
                <w:rFonts w:hint="eastAsia"/>
                <w:sz w:val="18"/>
                <w:szCs w:val="18"/>
                <w:u w:val="single"/>
              </w:rPr>
              <w:t>19028</w:t>
            </w:r>
            <w:r w:rsidRPr="002F32E5">
              <w:rPr>
                <w:rFonts w:hint="eastAsia"/>
                <w:sz w:val="18"/>
                <w:szCs w:val="18"/>
              </w:rPr>
              <w:t>期</w:t>
            </w:r>
            <w:r w:rsidRPr="00CE39F5">
              <w:rPr>
                <w:rFonts w:hint="eastAsia"/>
                <w:sz w:val="18"/>
                <w:szCs w:val="18"/>
              </w:rPr>
              <w:t>银行理财计划</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A60C9A">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行内标识码</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B1608D">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F</w:t>
            </w:r>
            <w:r w:rsidR="004359A0">
              <w:rPr>
                <w:rFonts w:hint="eastAsia"/>
                <w:sz w:val="18"/>
                <w:szCs w:val="18"/>
              </w:rPr>
              <w:t>19028</w:t>
            </w:r>
          </w:p>
        </w:tc>
      </w:tr>
      <w:tr w:rsidR="00A60C9A"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9F4841">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产品登记编码</w:t>
            </w:r>
          </w:p>
        </w:tc>
        <w:tc>
          <w:tcPr>
            <w:tcW w:w="4204" w:type="pct"/>
            <w:tcBorders>
              <w:top w:val="single" w:sz="4" w:space="0" w:color="auto"/>
              <w:left w:val="single" w:sz="4" w:space="0" w:color="auto"/>
              <w:bottom w:val="single" w:sz="4" w:space="0" w:color="auto"/>
              <w:right w:val="single" w:sz="4" w:space="0" w:color="auto"/>
            </w:tcBorders>
            <w:vAlign w:val="center"/>
          </w:tcPr>
          <w:p w:rsidR="00EC0699" w:rsidRPr="006C4DEE" w:rsidRDefault="00151BEA" w:rsidP="00B75575">
            <w:pPr>
              <w:pStyle w:val="msonormalcxspmiddle"/>
              <w:adjustRightInd w:val="0"/>
              <w:snapToGrid w:val="0"/>
              <w:spacing w:before="0" w:beforeAutospacing="0" w:after="0" w:afterAutospacing="0" w:line="288" w:lineRule="auto"/>
              <w:jc w:val="center"/>
              <w:rPr>
                <w:rFonts w:hAnsi="Calibri"/>
                <w:sz w:val="18"/>
                <w:szCs w:val="18"/>
              </w:rPr>
            </w:pPr>
            <w:r w:rsidRPr="00151BEA">
              <w:rPr>
                <w:rFonts w:hAnsi="Calibri"/>
                <w:sz w:val="18"/>
                <w:szCs w:val="18"/>
              </w:rPr>
              <w:t>C1092219000</w:t>
            </w:r>
            <w:r w:rsidR="004359A0">
              <w:rPr>
                <w:rFonts w:hAnsi="Calibri" w:hint="eastAsia"/>
                <w:sz w:val="18"/>
                <w:szCs w:val="18"/>
              </w:rPr>
              <w:t>050</w:t>
            </w:r>
          </w:p>
          <w:p w:rsidR="00EC0699" w:rsidRPr="007E5E6B" w:rsidRDefault="00EC0699" w:rsidP="00B75575">
            <w:pPr>
              <w:pStyle w:val="msonormalcxspmiddle"/>
              <w:adjustRightInd w:val="0"/>
              <w:snapToGrid w:val="0"/>
              <w:spacing w:before="0" w:beforeAutospacing="0" w:after="0" w:afterAutospacing="0" w:line="288" w:lineRule="auto"/>
              <w:jc w:val="center"/>
              <w:rPr>
                <w:sz w:val="18"/>
                <w:szCs w:val="18"/>
              </w:rPr>
            </w:pPr>
            <w:r>
              <w:rPr>
                <w:sz w:val="18"/>
                <w:szCs w:val="18"/>
              </w:rPr>
              <w:t>(投资者可登录中国理财网</w:t>
            </w:r>
            <w:r>
              <w:rPr>
                <w:sz w:val="18"/>
                <w:szCs w:val="18"/>
                <w:u w:val="single"/>
              </w:rPr>
              <w:t>www.chinawealth.com.cn</w:t>
            </w:r>
            <w:r>
              <w:rPr>
                <w:sz w:val="18"/>
                <w:szCs w:val="18"/>
              </w:rPr>
              <w:t>查询产品信息)</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投资类型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E5E6B" w:rsidRDefault="00952DED" w:rsidP="009F4841">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混合类</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风险评级</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根据温州银行内部风险评级标准，本产品的风险等级为</w:t>
            </w:r>
            <w:r w:rsidRPr="00DA60FC">
              <w:rPr>
                <w:rFonts w:cs="Times New Roman" w:hint="eastAsia"/>
                <w:sz w:val="18"/>
                <w:szCs w:val="18"/>
              </w:rPr>
              <w:t>PR2级（稳健型）：总体风险程度较低，银行不承诺本金保障但本金损失可能性很小，产品收益随投资表现变动。</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适合客户</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DE4802">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经温州银行评估为稳健型、平衡型、进取型</w:t>
            </w:r>
            <w:r>
              <w:rPr>
                <w:rFonts w:cs="Times New Roman" w:hint="eastAsia"/>
                <w:sz w:val="18"/>
                <w:szCs w:val="18"/>
              </w:rPr>
              <w:t>、激进型</w:t>
            </w:r>
            <w:r w:rsidRPr="00664EB0">
              <w:rPr>
                <w:rFonts w:cs="Times New Roman" w:hint="eastAsia"/>
                <w:sz w:val="18"/>
                <w:szCs w:val="18"/>
              </w:rPr>
              <w:t>的个人投资者</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理财期限</w:t>
            </w:r>
            <w:r>
              <w:rPr>
                <w:rFonts w:cs="Times New Roman" w:hint="eastAsia"/>
                <w:sz w:val="18"/>
                <w:szCs w:val="18"/>
              </w:rPr>
              <w:t>（T）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4359A0" w:rsidP="00A3436E">
            <w:pPr>
              <w:pStyle w:val="msonormalcxspmiddle"/>
              <w:adjustRightInd w:val="0"/>
              <w:snapToGrid w:val="0"/>
              <w:spacing w:before="0" w:beforeAutospacing="0" w:after="0" w:afterAutospacing="0" w:line="288" w:lineRule="auto"/>
              <w:jc w:val="center"/>
              <w:rPr>
                <w:sz w:val="18"/>
                <w:szCs w:val="18"/>
              </w:rPr>
            </w:pPr>
            <w:r>
              <w:rPr>
                <w:rFonts w:hint="eastAsia"/>
                <w:sz w:val="18"/>
                <w:szCs w:val="18"/>
                <w:u w:val="single"/>
              </w:rPr>
              <w:t>364</w:t>
            </w:r>
            <w:r w:rsidR="00A7035B" w:rsidRPr="00664EB0">
              <w:rPr>
                <w:rFonts w:hint="eastAsia"/>
                <w:sz w:val="18"/>
                <w:szCs w:val="18"/>
              </w:rPr>
              <w:t>天</w:t>
            </w:r>
            <w:r w:rsidR="00A7035B">
              <w:rPr>
                <w:rFonts w:hint="eastAsia"/>
                <w:sz w:val="18"/>
                <w:szCs w:val="18"/>
              </w:rPr>
              <w:t xml:space="preserve">  （</w:t>
            </w:r>
            <w:r w:rsidR="00A7035B" w:rsidRPr="00664EB0">
              <w:rPr>
                <w:rFonts w:hint="eastAsia"/>
                <w:sz w:val="18"/>
                <w:szCs w:val="18"/>
              </w:rPr>
              <w:t>实际理财期限受制于温州银行提前终止权等条款</w:t>
            </w:r>
            <w:r w:rsidR="00A7035B">
              <w:rPr>
                <w:rFonts w:hint="eastAsia"/>
                <w:sz w:val="18"/>
                <w:szCs w:val="18"/>
              </w:rPr>
              <w:t>）</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交易</w:t>
            </w:r>
            <w:r w:rsidRPr="00664EB0">
              <w:rPr>
                <w:rFonts w:cs="Times New Roman" w:hint="eastAsia"/>
                <w:sz w:val="18"/>
                <w:szCs w:val="18"/>
              </w:rPr>
              <w:t>币种</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人民币</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952DED"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收益</w:t>
            </w:r>
            <w:r w:rsidR="00A7035B" w:rsidRPr="00664EB0">
              <w:rPr>
                <w:rFonts w:cs="Times New Roman" w:hint="eastAsia"/>
                <w:sz w:val="18"/>
                <w:szCs w:val="18"/>
              </w:rPr>
              <w:t>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非保本浮动收益型</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lastRenderedPageBreak/>
              <w:t>计划发行量</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F84AEC">
            <w:pPr>
              <w:pStyle w:val="msonormalcxspmiddle"/>
              <w:adjustRightInd w:val="0"/>
              <w:snapToGrid w:val="0"/>
              <w:spacing w:before="0" w:beforeAutospacing="0" w:after="0" w:afterAutospacing="0" w:line="288" w:lineRule="auto"/>
              <w:rPr>
                <w:sz w:val="18"/>
                <w:szCs w:val="18"/>
              </w:rPr>
            </w:pPr>
            <w:r w:rsidRPr="00745EDD">
              <w:rPr>
                <w:rFonts w:hint="eastAsia"/>
                <w:sz w:val="20"/>
                <w:szCs w:val="20"/>
              </w:rPr>
              <w:t>发售规模不超过</w:t>
            </w:r>
            <w:r w:rsidR="00F84AEC">
              <w:rPr>
                <w:rFonts w:hint="eastAsia"/>
                <w:sz w:val="20"/>
                <w:szCs w:val="20"/>
              </w:rPr>
              <w:t>30</w:t>
            </w:r>
            <w:r w:rsidRPr="00745EDD">
              <w:rPr>
                <w:rFonts w:hint="eastAsia"/>
                <w:sz w:val="20"/>
                <w:szCs w:val="20"/>
              </w:rPr>
              <w:t>000万元（温州银行有权根据产品募集和市场情况调整计划发行量。若认购期内实际募集金额超过计划发行量，则以实际募集金额为准。）</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认购期</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CE39F5" w:rsidRDefault="009B5401" w:rsidP="004359A0">
            <w:pPr>
              <w:pStyle w:val="msonormalcxspmiddle"/>
              <w:adjustRightInd w:val="0"/>
              <w:snapToGrid w:val="0"/>
              <w:spacing w:before="0" w:beforeAutospacing="0" w:after="0" w:afterAutospacing="0" w:line="288" w:lineRule="auto"/>
              <w:jc w:val="center"/>
              <w:rPr>
                <w:sz w:val="18"/>
                <w:szCs w:val="18"/>
                <w:u w:val="single"/>
              </w:rPr>
            </w:pPr>
            <w:r w:rsidRPr="00CE39F5">
              <w:rPr>
                <w:rFonts w:hint="eastAsia"/>
                <w:sz w:val="18"/>
                <w:szCs w:val="18"/>
                <w:u w:val="single"/>
              </w:rPr>
              <w:t>201</w:t>
            </w:r>
            <w:r>
              <w:rPr>
                <w:rFonts w:hint="eastAsia"/>
                <w:sz w:val="18"/>
                <w:szCs w:val="18"/>
                <w:u w:val="single"/>
              </w:rPr>
              <w:t>9</w:t>
            </w:r>
            <w:r w:rsidRPr="00CE39F5">
              <w:rPr>
                <w:rFonts w:hint="eastAsia"/>
                <w:sz w:val="18"/>
                <w:szCs w:val="18"/>
                <w:u w:val="single"/>
              </w:rPr>
              <w:t>年</w:t>
            </w:r>
            <w:r>
              <w:rPr>
                <w:rFonts w:hint="eastAsia"/>
                <w:sz w:val="18"/>
                <w:szCs w:val="18"/>
                <w:u w:val="single"/>
              </w:rPr>
              <w:t>1</w:t>
            </w:r>
            <w:r w:rsidRPr="00CE39F5">
              <w:rPr>
                <w:rFonts w:hint="eastAsia"/>
                <w:sz w:val="18"/>
                <w:szCs w:val="18"/>
                <w:u w:val="single"/>
              </w:rPr>
              <w:t>月</w:t>
            </w:r>
            <w:r w:rsidR="004359A0">
              <w:rPr>
                <w:rFonts w:hint="eastAsia"/>
                <w:sz w:val="18"/>
                <w:szCs w:val="18"/>
                <w:u w:val="single"/>
              </w:rPr>
              <w:t>29</w:t>
            </w:r>
            <w:r>
              <w:rPr>
                <w:rFonts w:hint="eastAsia"/>
                <w:sz w:val="18"/>
                <w:szCs w:val="18"/>
                <w:u w:val="single"/>
              </w:rPr>
              <w:t>日</w:t>
            </w:r>
            <w:r w:rsidR="00A7035B" w:rsidRPr="00CE39F5">
              <w:rPr>
                <w:rFonts w:hint="eastAsia"/>
                <w:sz w:val="18"/>
                <w:szCs w:val="18"/>
                <w:u w:val="single"/>
              </w:rPr>
              <w:t>至201</w:t>
            </w:r>
            <w:r w:rsidR="00F84AEC">
              <w:rPr>
                <w:rFonts w:hint="eastAsia"/>
                <w:sz w:val="18"/>
                <w:szCs w:val="18"/>
                <w:u w:val="single"/>
              </w:rPr>
              <w:t>9</w:t>
            </w:r>
            <w:r w:rsidR="00A7035B" w:rsidRPr="00CE39F5">
              <w:rPr>
                <w:rFonts w:hint="eastAsia"/>
                <w:sz w:val="18"/>
                <w:szCs w:val="18"/>
                <w:u w:val="single"/>
              </w:rPr>
              <w:t>年</w:t>
            </w:r>
            <w:r w:rsidR="00F84AEC">
              <w:rPr>
                <w:rFonts w:hint="eastAsia"/>
                <w:sz w:val="18"/>
                <w:szCs w:val="18"/>
                <w:u w:val="single"/>
              </w:rPr>
              <w:t>1</w:t>
            </w:r>
            <w:r w:rsidR="00A7035B" w:rsidRPr="00CE39F5">
              <w:rPr>
                <w:rFonts w:hint="eastAsia"/>
                <w:sz w:val="18"/>
                <w:szCs w:val="18"/>
                <w:u w:val="single"/>
              </w:rPr>
              <w:t>月</w:t>
            </w:r>
            <w:r w:rsidR="004359A0">
              <w:rPr>
                <w:rFonts w:hint="eastAsia"/>
                <w:sz w:val="18"/>
                <w:szCs w:val="18"/>
                <w:u w:val="single"/>
              </w:rPr>
              <w:t>31</w:t>
            </w:r>
            <w:r w:rsidR="006216E0">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产品成立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9E2E58" w:rsidP="009F48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sidR="00A7035B" w:rsidRPr="00664EB0">
              <w:rPr>
                <w:rFonts w:cs="Times New Roman" w:hint="eastAsia"/>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理财开始日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D81EEB" w:rsidP="004359A0">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u w:val="single"/>
              </w:rPr>
              <w:t>20</w:t>
            </w:r>
            <w:r w:rsidR="00F84AEC">
              <w:rPr>
                <w:rFonts w:hint="eastAsia"/>
                <w:sz w:val="18"/>
                <w:szCs w:val="18"/>
                <w:u w:val="single"/>
              </w:rPr>
              <w:t>19</w:t>
            </w:r>
            <w:r w:rsidRPr="00CE39F5">
              <w:rPr>
                <w:rFonts w:hint="eastAsia"/>
                <w:sz w:val="18"/>
                <w:szCs w:val="18"/>
                <w:u w:val="single"/>
              </w:rPr>
              <w:t>年</w:t>
            </w:r>
            <w:r w:rsidR="004359A0">
              <w:rPr>
                <w:rFonts w:hint="eastAsia"/>
                <w:sz w:val="18"/>
                <w:szCs w:val="18"/>
                <w:u w:val="single"/>
              </w:rPr>
              <w:t>2</w:t>
            </w:r>
            <w:r w:rsidRPr="00CE39F5">
              <w:rPr>
                <w:rFonts w:hint="eastAsia"/>
                <w:sz w:val="18"/>
                <w:szCs w:val="18"/>
                <w:u w:val="single"/>
              </w:rPr>
              <w:t>月</w:t>
            </w:r>
            <w:r w:rsidR="004359A0">
              <w:rPr>
                <w:rFonts w:hint="eastAsia"/>
                <w:sz w:val="18"/>
                <w:szCs w:val="18"/>
                <w:u w:val="single"/>
              </w:rPr>
              <w:t>1</w:t>
            </w:r>
            <w:r>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w:t>
            </w:r>
            <w:r w:rsidR="00952DED">
              <w:rPr>
                <w:rFonts w:cs="Times New Roman" w:hint="eastAsia"/>
                <w:sz w:val="18"/>
                <w:szCs w:val="18"/>
              </w:rPr>
              <w:t>预计</w:t>
            </w:r>
            <w:r w:rsidRPr="00664EB0">
              <w:rPr>
                <w:rFonts w:cs="Times New Roman" w:hint="eastAsia"/>
                <w:sz w:val="18"/>
                <w:szCs w:val="18"/>
              </w:rPr>
              <w:t>到期日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3035F" w:rsidRDefault="00F84AEC" w:rsidP="00151BEA">
            <w:pPr>
              <w:pStyle w:val="msonormalcxspmiddle"/>
              <w:adjustRightInd w:val="0"/>
              <w:snapToGrid w:val="0"/>
              <w:spacing w:before="0" w:beforeAutospacing="0" w:after="0" w:afterAutospacing="0" w:line="288" w:lineRule="auto"/>
              <w:jc w:val="center"/>
              <w:rPr>
                <w:sz w:val="18"/>
                <w:szCs w:val="18"/>
                <w:u w:val="single"/>
              </w:rPr>
            </w:pPr>
            <w:r>
              <w:rPr>
                <w:rFonts w:hint="eastAsia"/>
                <w:sz w:val="18"/>
                <w:szCs w:val="18"/>
                <w:u w:val="single"/>
              </w:rPr>
              <w:t>2020</w:t>
            </w:r>
            <w:r w:rsidR="00A7035B" w:rsidRPr="0073035F">
              <w:rPr>
                <w:rFonts w:hint="eastAsia"/>
                <w:sz w:val="18"/>
                <w:szCs w:val="18"/>
                <w:u w:val="single"/>
              </w:rPr>
              <w:t>年</w:t>
            </w:r>
            <w:r w:rsidR="00454614">
              <w:rPr>
                <w:rFonts w:hint="eastAsia"/>
                <w:sz w:val="18"/>
                <w:szCs w:val="18"/>
                <w:u w:val="single"/>
              </w:rPr>
              <w:t>1</w:t>
            </w:r>
            <w:r w:rsidR="00A7035B" w:rsidRPr="0073035F">
              <w:rPr>
                <w:rFonts w:hint="eastAsia"/>
                <w:sz w:val="18"/>
                <w:szCs w:val="18"/>
                <w:u w:val="single"/>
              </w:rPr>
              <w:t>月</w:t>
            </w:r>
            <w:r w:rsidR="00151BEA">
              <w:rPr>
                <w:rFonts w:hint="eastAsia"/>
                <w:sz w:val="18"/>
                <w:szCs w:val="18"/>
                <w:u w:val="single"/>
              </w:rPr>
              <w:t>31</w:t>
            </w:r>
            <w:r w:rsidR="00A7035B" w:rsidRPr="0073035F">
              <w:rPr>
                <w:rFonts w:hint="eastAsia"/>
                <w:sz w:val="18"/>
                <w:szCs w:val="18"/>
                <w:u w:val="single"/>
              </w:rPr>
              <w:t>日</w:t>
            </w:r>
          </w:p>
        </w:tc>
      </w:tr>
      <w:tr w:rsidR="00A7035B" w:rsidRPr="002C7259"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455794"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业绩比较基准</w:t>
            </w:r>
          </w:p>
          <w:p w:rsidR="00A7035B" w:rsidRPr="00664EB0"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w:t>
            </w:r>
            <w:r w:rsidR="00A7035B" w:rsidRPr="00664EB0">
              <w:rPr>
                <w:rFonts w:cs="Times New Roman" w:hint="eastAsia"/>
                <w:sz w:val="18"/>
                <w:szCs w:val="18"/>
              </w:rPr>
              <w:t>理财收益率</w:t>
            </w:r>
            <w:r>
              <w:rPr>
                <w:rFonts w:cs="Times New Roman" w:hint="eastAsia"/>
                <w:sz w:val="18"/>
                <w:szCs w:val="18"/>
              </w:rPr>
              <w: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4359A0">
            <w:pPr>
              <w:pStyle w:val="msonormalcxspmiddle"/>
              <w:adjustRightInd w:val="0"/>
              <w:snapToGrid w:val="0"/>
              <w:spacing w:before="0" w:beforeAutospacing="0" w:after="0" w:afterAutospacing="0" w:line="288" w:lineRule="auto"/>
              <w:rPr>
                <w:rFonts w:cs="Times New Roman"/>
                <w:sz w:val="18"/>
                <w:szCs w:val="18"/>
              </w:rPr>
            </w:pPr>
            <w:r w:rsidRPr="00664EB0">
              <w:rPr>
                <w:rFonts w:hint="eastAsia"/>
                <w:sz w:val="18"/>
                <w:szCs w:val="18"/>
              </w:rPr>
              <w:t>在投资资产组合按时足额收回投资本金及预期收益的情形下，</w:t>
            </w:r>
            <w:r w:rsidR="00455794">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455794">
              <w:rPr>
                <w:rFonts w:hint="eastAsia"/>
                <w:sz w:val="18"/>
                <w:szCs w:val="18"/>
              </w:rPr>
              <w:t>）</w:t>
            </w:r>
            <w:r>
              <w:rPr>
                <w:rFonts w:hint="eastAsia"/>
                <w:sz w:val="18"/>
                <w:szCs w:val="18"/>
              </w:rPr>
              <w:t>为</w:t>
            </w:r>
            <w:r w:rsidR="006C4DEE">
              <w:rPr>
                <w:rFonts w:hint="eastAsia"/>
                <w:sz w:val="18"/>
                <w:szCs w:val="18"/>
              </w:rPr>
              <w:t>4.65%</w:t>
            </w:r>
            <w:r w:rsidRPr="00ED5C39">
              <w:rPr>
                <w:rFonts w:hint="eastAsia"/>
                <w:sz w:val="18"/>
                <w:szCs w:val="18"/>
              </w:rPr>
              <w:t>。</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起点认购金额</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1C28AB" w:rsidP="006C5A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认购</w:t>
            </w:r>
            <w:r w:rsidRPr="00664EB0">
              <w:rPr>
                <w:rFonts w:hint="eastAsia"/>
                <w:sz w:val="18"/>
                <w:szCs w:val="18"/>
              </w:rPr>
              <w:t>起点</w:t>
            </w:r>
            <w:r>
              <w:rPr>
                <w:rFonts w:hint="eastAsia"/>
                <w:sz w:val="18"/>
                <w:szCs w:val="18"/>
              </w:rPr>
              <w:t>金额</w:t>
            </w:r>
            <w:r w:rsidR="006C5A41">
              <w:rPr>
                <w:rFonts w:hint="eastAsia"/>
                <w:sz w:val="18"/>
                <w:szCs w:val="18"/>
              </w:rPr>
              <w:t>1</w:t>
            </w:r>
            <w:r w:rsidRPr="00664EB0">
              <w:rPr>
                <w:rFonts w:hint="eastAsia"/>
                <w:sz w:val="18"/>
                <w:szCs w:val="18"/>
              </w:rPr>
              <w:t>万元整，超过认购起点部分，应为1万元的整数倍。</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提前终止权</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hint="eastAsia"/>
                <w:sz w:val="18"/>
                <w:szCs w:val="18"/>
              </w:rPr>
              <w:t>客户无提前终止权。如遇国家金融政策出现重大调整并影响到本产品的正常运行时，银行有权提前终止本产品。</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工作日</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国家法定工作日</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产品托管人</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rPr>
                <w:rFonts w:cs="Times New Roman"/>
                <w:sz w:val="18"/>
                <w:szCs w:val="18"/>
              </w:rPr>
            </w:pPr>
            <w:r w:rsidRPr="00757035">
              <w:rPr>
                <w:rFonts w:cs="Times New Roman" w:hint="eastAsia"/>
                <w:sz w:val="18"/>
                <w:szCs w:val="18"/>
              </w:rPr>
              <w:t>具有证券投资基金托管业务资格的商业银行</w:t>
            </w:r>
            <w:r>
              <w:rPr>
                <w:rFonts w:cs="Times New Roman" w:hint="eastAsia"/>
                <w:sz w:val="18"/>
                <w:szCs w:val="18"/>
              </w:rPr>
              <w:t>。</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其他规定</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理财本金在理财开始日前交存于温州银行的，按当时实行的活期利率计息。到期日到理财资金返还到账日为还本清算期，还本清算期内不计付利息</w:t>
            </w:r>
            <w:r>
              <w:rPr>
                <w:rFonts w:cs="Times New Roman" w:hint="eastAsia"/>
                <w:sz w:val="18"/>
                <w:szCs w:val="18"/>
              </w:rPr>
              <w:t>和收益</w:t>
            </w:r>
            <w:r w:rsidRPr="00664EB0">
              <w:rPr>
                <w:rFonts w:cs="Times New Roman" w:hint="eastAsia"/>
                <w:sz w:val="18"/>
                <w:szCs w:val="18"/>
              </w:rPr>
              <w:t>。</w:t>
            </w:r>
          </w:p>
        </w:tc>
      </w:tr>
    </w:tbl>
    <w:p w:rsidR="00A7035B" w:rsidRPr="00664EB0" w:rsidRDefault="00A7035B" w:rsidP="004359A0">
      <w:pPr>
        <w:adjustRightInd w:val="0"/>
        <w:snapToGrid w:val="0"/>
        <w:spacing w:beforeLines="50" w:line="276" w:lineRule="auto"/>
        <w:rPr>
          <w:b/>
          <w:sz w:val="18"/>
          <w:szCs w:val="18"/>
        </w:rPr>
      </w:pPr>
      <w:r w:rsidRPr="00664EB0">
        <w:rPr>
          <w:rFonts w:hint="eastAsia"/>
          <w:b/>
          <w:sz w:val="18"/>
          <w:szCs w:val="18"/>
        </w:rPr>
        <w:t>投资管理</w:t>
      </w:r>
    </w:p>
    <w:p w:rsidR="00A7035B" w:rsidRPr="00664EB0" w:rsidRDefault="00A7035B" w:rsidP="00D67510">
      <w:pPr>
        <w:adjustRightInd w:val="0"/>
        <w:snapToGrid w:val="0"/>
        <w:spacing w:line="276" w:lineRule="auto"/>
        <w:rPr>
          <w:sz w:val="18"/>
          <w:szCs w:val="18"/>
        </w:rPr>
      </w:pPr>
      <w:r w:rsidRPr="00664EB0">
        <w:rPr>
          <w:rFonts w:hint="eastAsia"/>
          <w:sz w:val="18"/>
          <w:szCs w:val="18"/>
        </w:rPr>
        <w:t>1</w:t>
      </w:r>
      <w:r w:rsidRPr="00664EB0">
        <w:rPr>
          <w:rFonts w:hint="eastAsia"/>
          <w:sz w:val="18"/>
          <w:szCs w:val="18"/>
        </w:rPr>
        <w:t>、投资对象</w:t>
      </w:r>
    </w:p>
    <w:p w:rsidR="00952DED" w:rsidRPr="00664EB0" w:rsidRDefault="00952DED" w:rsidP="00D67510">
      <w:pPr>
        <w:adjustRightInd w:val="0"/>
        <w:snapToGrid w:val="0"/>
        <w:spacing w:line="276" w:lineRule="auto"/>
        <w:rPr>
          <w:sz w:val="18"/>
          <w:szCs w:val="18"/>
        </w:rPr>
      </w:pPr>
      <w:r w:rsidRPr="00664EB0">
        <w:rPr>
          <w:rFonts w:hint="eastAsia"/>
          <w:sz w:val="18"/>
          <w:szCs w:val="18"/>
        </w:rPr>
        <w:t>本产品</w:t>
      </w:r>
      <w:r>
        <w:rPr>
          <w:rFonts w:hint="eastAsia"/>
          <w:sz w:val="18"/>
          <w:szCs w:val="18"/>
        </w:rPr>
        <w:t>为混合类理财产品</w:t>
      </w:r>
      <w:r w:rsidRPr="00664EB0">
        <w:rPr>
          <w:rFonts w:hint="eastAsia"/>
          <w:sz w:val="18"/>
          <w:szCs w:val="18"/>
        </w:rPr>
        <w:t>，温州银行</w:t>
      </w:r>
      <w:r>
        <w:rPr>
          <w:rFonts w:hint="eastAsia"/>
          <w:sz w:val="18"/>
          <w:szCs w:val="18"/>
        </w:rPr>
        <w:t>将理财产品</w:t>
      </w:r>
      <w:r w:rsidRPr="00664EB0">
        <w:rPr>
          <w:rFonts w:hint="eastAsia"/>
          <w:sz w:val="18"/>
          <w:szCs w:val="18"/>
        </w:rPr>
        <w:t>募集资金</w:t>
      </w:r>
      <w:r>
        <w:rPr>
          <w:rFonts w:hint="eastAsia"/>
          <w:sz w:val="18"/>
          <w:szCs w:val="18"/>
        </w:rPr>
        <w:t>主要配置于固定收益类非标准化债权资产，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664EB0">
        <w:rPr>
          <w:rFonts w:hint="eastAsia"/>
          <w:sz w:val="18"/>
          <w:szCs w:val="18"/>
        </w:rPr>
        <w:t>本产品的收益主要来源于理财资金所投资</w:t>
      </w:r>
      <w:r>
        <w:rPr>
          <w:rFonts w:hint="eastAsia"/>
          <w:sz w:val="18"/>
          <w:szCs w:val="18"/>
        </w:rPr>
        <w:t>资产</w:t>
      </w:r>
      <w:r w:rsidRPr="00664EB0">
        <w:rPr>
          <w:rFonts w:hint="eastAsia"/>
          <w:sz w:val="18"/>
          <w:szCs w:val="18"/>
        </w:rPr>
        <w:t>的投资回报。投资者按其认购金额占该理财产品项下所有认购资金的比例，承担相应比例的收益和风险。</w:t>
      </w:r>
    </w:p>
    <w:p w:rsidR="006216E0" w:rsidRDefault="006216E0" w:rsidP="00D67510">
      <w:pPr>
        <w:adjustRightInd w:val="0"/>
        <w:snapToGrid w:val="0"/>
        <w:spacing w:line="276" w:lineRule="auto"/>
        <w:rPr>
          <w:sz w:val="18"/>
          <w:szCs w:val="18"/>
        </w:rPr>
      </w:pPr>
      <w:r>
        <w:rPr>
          <w:sz w:val="18"/>
          <w:szCs w:val="18"/>
        </w:rPr>
        <w:t>2</w:t>
      </w:r>
      <w:r>
        <w:rPr>
          <w:rFonts w:hint="eastAsia"/>
          <w:sz w:val="18"/>
          <w:szCs w:val="18"/>
        </w:rPr>
        <w:t>、投资范围与投资比例</w:t>
      </w:r>
    </w:p>
    <w:p w:rsidR="006216E0" w:rsidRDefault="006216E0" w:rsidP="00D67510">
      <w:pPr>
        <w:adjustRightInd w:val="0"/>
        <w:snapToGrid w:val="0"/>
        <w:spacing w:line="276" w:lineRule="auto"/>
        <w:rPr>
          <w:sz w:val="18"/>
          <w:szCs w:val="18"/>
        </w:rPr>
      </w:pPr>
      <w:r>
        <w:rPr>
          <w:rFonts w:hint="eastAsia"/>
          <w:sz w:val="18"/>
          <w:szCs w:val="18"/>
        </w:rPr>
        <w:t>银行间市场和证券交易所市场债权性资产：</w:t>
      </w:r>
      <w:r>
        <w:rPr>
          <w:sz w:val="18"/>
          <w:szCs w:val="18"/>
        </w:rPr>
        <w:t>5%-95%</w:t>
      </w:r>
      <w:r>
        <w:rPr>
          <w:rFonts w:hint="eastAsia"/>
          <w:sz w:val="18"/>
          <w:szCs w:val="18"/>
        </w:rPr>
        <w:t>，包括但不限于国债、金融债、央票、企业债、中期债券以及短期融资券、债券回购、同业存放等投资标的；</w:t>
      </w:r>
    </w:p>
    <w:p w:rsidR="006216E0" w:rsidRDefault="006216E0" w:rsidP="00D67510">
      <w:pPr>
        <w:adjustRightInd w:val="0"/>
        <w:snapToGrid w:val="0"/>
        <w:spacing w:line="276" w:lineRule="auto"/>
        <w:rPr>
          <w:sz w:val="18"/>
          <w:szCs w:val="18"/>
        </w:rPr>
      </w:pPr>
      <w:r>
        <w:rPr>
          <w:rFonts w:hint="eastAsia"/>
          <w:sz w:val="18"/>
          <w:szCs w:val="18"/>
        </w:rPr>
        <w:t>固定收益类非标准化债权资产：</w:t>
      </w:r>
      <w:r>
        <w:rPr>
          <w:sz w:val="18"/>
          <w:szCs w:val="18"/>
        </w:rPr>
        <w:t>0-90%</w:t>
      </w:r>
      <w:r>
        <w:rPr>
          <w:rFonts w:hint="eastAsia"/>
          <w:sz w:val="18"/>
          <w:szCs w:val="18"/>
        </w:rPr>
        <w:t>，指未在银行间市场及证券交易所市场交易的债权性资产，包括但不限于信托贷款、委托债权、承兑汇票、各类受（收）益权等投资标的。</w:t>
      </w:r>
    </w:p>
    <w:p w:rsidR="006216E0" w:rsidRDefault="006216E0" w:rsidP="00D67510">
      <w:pPr>
        <w:adjustRightInd w:val="0"/>
        <w:snapToGrid w:val="0"/>
        <w:spacing w:line="276" w:lineRule="auto"/>
        <w:rPr>
          <w:sz w:val="18"/>
          <w:szCs w:val="18"/>
        </w:rPr>
      </w:pPr>
      <w:r>
        <w:rPr>
          <w:rFonts w:hint="eastAsia"/>
          <w:sz w:val="18"/>
          <w:szCs w:val="18"/>
        </w:rPr>
        <w:t>现金类资产：</w:t>
      </w:r>
      <w:r>
        <w:rPr>
          <w:sz w:val="18"/>
          <w:szCs w:val="18"/>
        </w:rPr>
        <w:t>5%-95%</w:t>
      </w:r>
      <w:r>
        <w:rPr>
          <w:rFonts w:hint="eastAsia"/>
          <w:sz w:val="18"/>
          <w:szCs w:val="18"/>
        </w:rPr>
        <w:t>，指银行活期存款及货币市场类工具。</w:t>
      </w:r>
    </w:p>
    <w:p w:rsidR="00171FAA" w:rsidRDefault="00171FAA" w:rsidP="00171FAA">
      <w:pPr>
        <w:adjustRightInd w:val="0"/>
        <w:snapToGrid w:val="0"/>
        <w:spacing w:line="276" w:lineRule="auto"/>
        <w:rPr>
          <w:sz w:val="18"/>
          <w:szCs w:val="18"/>
        </w:rPr>
      </w:pPr>
      <w:r>
        <w:rPr>
          <w:rFonts w:ascii="宋体" w:hAnsi="Calibri" w:cs="宋体" w:hint="eastAsia"/>
          <w:kern w:val="0"/>
          <w:sz w:val="18"/>
          <w:szCs w:val="18"/>
          <w:lang w:val="zh-CN"/>
        </w:rPr>
        <w:t>权益类资产：0-80%，包括但不限于股票、证券投资基金、未上市股权等投资标的。</w:t>
      </w:r>
    </w:p>
    <w:p w:rsidR="006216E0" w:rsidRDefault="006216E0" w:rsidP="00D67510">
      <w:pPr>
        <w:adjustRightInd w:val="0"/>
        <w:snapToGrid w:val="0"/>
        <w:spacing w:line="276" w:lineRule="auto"/>
        <w:rPr>
          <w:sz w:val="18"/>
          <w:szCs w:val="18"/>
        </w:rPr>
      </w:pPr>
      <w:r>
        <w:rPr>
          <w:rFonts w:hint="eastAsia"/>
          <w:sz w:val="18"/>
          <w:szCs w:val="18"/>
        </w:rPr>
        <w:t>其他符合监管规定的具有固定收益性质的投资品种：</w:t>
      </w:r>
      <w:r>
        <w:rPr>
          <w:sz w:val="18"/>
          <w:szCs w:val="18"/>
        </w:rPr>
        <w:t>0-90%</w:t>
      </w:r>
      <w:r>
        <w:rPr>
          <w:rFonts w:hint="eastAsia"/>
          <w:sz w:val="18"/>
          <w:szCs w:val="18"/>
        </w:rPr>
        <w:t>。</w:t>
      </w:r>
    </w:p>
    <w:p w:rsidR="006216E0" w:rsidRDefault="006216E0" w:rsidP="00D67510">
      <w:pPr>
        <w:adjustRightInd w:val="0"/>
        <w:snapToGrid w:val="0"/>
        <w:spacing w:line="276" w:lineRule="auto"/>
        <w:rPr>
          <w:sz w:val="18"/>
          <w:szCs w:val="18"/>
        </w:rPr>
      </w:pPr>
      <w:r>
        <w:rPr>
          <w:rFonts w:hint="eastAsia"/>
          <w:sz w:val="18"/>
          <w:szCs w:val="18"/>
        </w:rPr>
        <w:t>上述各类资产的投资比例可在（–</w:t>
      </w:r>
      <w:r>
        <w:rPr>
          <w:sz w:val="18"/>
          <w:szCs w:val="18"/>
        </w:rPr>
        <w:t>10%</w:t>
      </w:r>
      <w:r>
        <w:rPr>
          <w:rFonts w:hint="eastAsia"/>
          <w:sz w:val="18"/>
          <w:szCs w:val="18"/>
        </w:rPr>
        <w:t>，</w:t>
      </w:r>
      <w:r>
        <w:rPr>
          <w:sz w:val="18"/>
          <w:szCs w:val="18"/>
        </w:rPr>
        <w:t>+10%</w:t>
      </w:r>
      <w:r>
        <w:rPr>
          <w:rFonts w:hint="eastAsia"/>
          <w:sz w:val="18"/>
          <w:szCs w:val="18"/>
        </w:rPr>
        <w:t>）的区间内浮动，由温州银行根据实际情况确定，若因市场变化导致投资比例超出该范围，温州银行将在网站和网点对具体调整情况进行公告。</w:t>
      </w:r>
    </w:p>
    <w:p w:rsidR="00A7035B" w:rsidRPr="00664EB0" w:rsidRDefault="00A7035B" w:rsidP="00D67510">
      <w:pPr>
        <w:adjustRightInd w:val="0"/>
        <w:snapToGrid w:val="0"/>
        <w:spacing w:line="276" w:lineRule="auto"/>
        <w:rPr>
          <w:sz w:val="18"/>
          <w:szCs w:val="18"/>
        </w:rPr>
      </w:pPr>
      <w:r>
        <w:rPr>
          <w:rFonts w:hint="eastAsia"/>
          <w:sz w:val="18"/>
          <w:szCs w:val="18"/>
        </w:rPr>
        <w:t>3</w:t>
      </w:r>
      <w:r w:rsidRPr="00664EB0">
        <w:rPr>
          <w:rFonts w:hint="eastAsia"/>
          <w:sz w:val="18"/>
          <w:szCs w:val="18"/>
        </w:rPr>
        <w:t>、投资策略</w:t>
      </w:r>
    </w:p>
    <w:p w:rsidR="00A7035B" w:rsidRDefault="00A7035B" w:rsidP="00D67510">
      <w:pPr>
        <w:adjustRightInd w:val="0"/>
        <w:snapToGrid w:val="0"/>
        <w:spacing w:line="276" w:lineRule="auto"/>
        <w:rPr>
          <w:sz w:val="18"/>
          <w:szCs w:val="18"/>
        </w:rPr>
      </w:pPr>
      <w:r>
        <w:rPr>
          <w:rFonts w:hint="eastAsia"/>
          <w:sz w:val="18"/>
          <w:szCs w:val="18"/>
        </w:rPr>
        <w:t>本产品采用安全性和流动性优先、追求适度收益的投资策略。</w:t>
      </w:r>
      <w:r w:rsidRPr="00DC3D1D">
        <w:rPr>
          <w:rFonts w:hint="eastAsia"/>
          <w:sz w:val="18"/>
          <w:szCs w:val="18"/>
        </w:rPr>
        <w:t>温州银行</w:t>
      </w:r>
      <w:r>
        <w:rPr>
          <w:rFonts w:hint="eastAsia"/>
          <w:sz w:val="18"/>
          <w:szCs w:val="18"/>
        </w:rPr>
        <w:t>作为管理人</w:t>
      </w:r>
      <w:r w:rsidRPr="00DC3D1D">
        <w:rPr>
          <w:rFonts w:hint="eastAsia"/>
          <w:sz w:val="18"/>
          <w:szCs w:val="18"/>
        </w:rPr>
        <w:t>将根据</w:t>
      </w:r>
      <w:r>
        <w:rPr>
          <w:rFonts w:hint="eastAsia"/>
          <w:sz w:val="18"/>
          <w:szCs w:val="18"/>
        </w:rPr>
        <w:t>拟投资标的资产的特点进行</w:t>
      </w:r>
      <w:r w:rsidRPr="00DC3D1D">
        <w:rPr>
          <w:rFonts w:hint="eastAsia"/>
          <w:sz w:val="18"/>
          <w:szCs w:val="18"/>
        </w:rPr>
        <w:t>投资管理</w:t>
      </w:r>
      <w:r>
        <w:rPr>
          <w:rFonts w:hint="eastAsia"/>
          <w:sz w:val="18"/>
          <w:szCs w:val="18"/>
        </w:rPr>
        <w:t>，</w:t>
      </w:r>
      <w:r w:rsidRPr="00DC3D1D">
        <w:rPr>
          <w:rFonts w:hint="eastAsia"/>
          <w:sz w:val="18"/>
          <w:szCs w:val="18"/>
        </w:rPr>
        <w:t>以寻求稳健、低风险的投资收益。</w:t>
      </w:r>
    </w:p>
    <w:p w:rsidR="00A7035B" w:rsidRDefault="00A7035B" w:rsidP="00D67510">
      <w:pPr>
        <w:adjustRightInd w:val="0"/>
        <w:snapToGrid w:val="0"/>
        <w:spacing w:line="276" w:lineRule="auto"/>
        <w:rPr>
          <w:b/>
          <w:sz w:val="18"/>
          <w:szCs w:val="18"/>
        </w:rPr>
      </w:pPr>
      <w:r w:rsidRPr="004B64D5">
        <w:rPr>
          <w:rFonts w:hint="eastAsia"/>
          <w:b/>
          <w:sz w:val="18"/>
          <w:szCs w:val="18"/>
        </w:rPr>
        <w:t>产品销售</w:t>
      </w:r>
    </w:p>
    <w:p w:rsidR="00A7035B" w:rsidRPr="004B64D5" w:rsidRDefault="00A7035B" w:rsidP="00D67510">
      <w:pPr>
        <w:adjustRightInd w:val="0"/>
        <w:snapToGrid w:val="0"/>
        <w:spacing w:line="276" w:lineRule="auto"/>
        <w:rPr>
          <w:sz w:val="18"/>
          <w:szCs w:val="18"/>
        </w:rPr>
      </w:pPr>
      <w:r w:rsidRPr="004B64D5">
        <w:rPr>
          <w:rFonts w:hint="eastAsia"/>
          <w:sz w:val="18"/>
          <w:szCs w:val="18"/>
        </w:rPr>
        <w:t>销售地区范围包括</w:t>
      </w:r>
      <w:r w:rsidR="00283098">
        <w:rPr>
          <w:rFonts w:hint="eastAsia"/>
          <w:sz w:val="18"/>
          <w:szCs w:val="18"/>
        </w:rPr>
        <w:t>浙江省、上海地区</w:t>
      </w:r>
      <w:r>
        <w:rPr>
          <w:rFonts w:hint="eastAsia"/>
          <w:sz w:val="18"/>
          <w:szCs w:val="18"/>
        </w:rPr>
        <w:t>等</w:t>
      </w:r>
      <w:r w:rsidRPr="004B64D5">
        <w:rPr>
          <w:rFonts w:hint="eastAsia"/>
          <w:sz w:val="18"/>
          <w:szCs w:val="18"/>
        </w:rPr>
        <w:t>。</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w:t>
      </w:r>
      <w:r w:rsidR="006C5A41">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6C5A41">
        <w:rPr>
          <w:rFonts w:hint="eastAsia"/>
          <w:sz w:val="18"/>
          <w:szCs w:val="18"/>
        </w:rPr>
        <w:t>）</w:t>
      </w:r>
    </w:p>
    <w:p w:rsidR="00A7035B" w:rsidRDefault="006C5A41" w:rsidP="00D67510">
      <w:pPr>
        <w:adjustRightInd w:val="0"/>
        <w:snapToGrid w:val="0"/>
        <w:spacing w:line="276" w:lineRule="auto"/>
        <w:rPr>
          <w:sz w:val="18"/>
          <w:szCs w:val="18"/>
        </w:rPr>
      </w:pPr>
      <w:r>
        <w:rPr>
          <w:rFonts w:hint="eastAsia"/>
          <w:sz w:val="18"/>
          <w:szCs w:val="18"/>
        </w:rPr>
        <w:t>业绩比较基准（</w:t>
      </w:r>
      <w:r w:rsidR="00A7035B" w:rsidRPr="00664EB0">
        <w:rPr>
          <w:rFonts w:hint="eastAsia"/>
          <w:sz w:val="18"/>
          <w:szCs w:val="18"/>
        </w:rPr>
        <w:t>理财</w:t>
      </w:r>
      <w:r w:rsidR="00A7035B">
        <w:rPr>
          <w:rFonts w:hint="eastAsia"/>
          <w:sz w:val="18"/>
          <w:szCs w:val="18"/>
        </w:rPr>
        <w:t>年化</w:t>
      </w:r>
      <w:r w:rsidR="00A7035B" w:rsidRPr="00664EB0">
        <w:rPr>
          <w:rFonts w:hint="eastAsia"/>
          <w:sz w:val="18"/>
          <w:szCs w:val="18"/>
        </w:rPr>
        <w:t>收益率</w:t>
      </w:r>
      <w:r>
        <w:rPr>
          <w:rFonts w:hint="eastAsia"/>
          <w:sz w:val="18"/>
          <w:szCs w:val="18"/>
        </w:rPr>
        <w:t>）</w:t>
      </w:r>
      <w:r w:rsidR="00A7035B" w:rsidRPr="00664EB0">
        <w:rPr>
          <w:rFonts w:hint="eastAsia"/>
          <w:sz w:val="18"/>
          <w:szCs w:val="18"/>
        </w:rPr>
        <w:t>根据所投资资产实际运作情况确定。</w:t>
      </w:r>
      <w:r w:rsidR="00A7035B" w:rsidRPr="0036639A">
        <w:rPr>
          <w:rFonts w:hint="eastAsia"/>
          <w:sz w:val="18"/>
          <w:szCs w:val="18"/>
        </w:rPr>
        <w:t>在资产组合按时足额收回本金及投资收益的情况下，在扣除理财产品管理费及托管费后，</w:t>
      </w:r>
      <w:r w:rsidR="00A7035B" w:rsidRPr="00664EB0">
        <w:rPr>
          <w:rFonts w:hint="eastAsia"/>
          <w:sz w:val="18"/>
          <w:szCs w:val="18"/>
        </w:rPr>
        <w:t>本期产品</w:t>
      </w:r>
      <w:r>
        <w:rPr>
          <w:rFonts w:hint="eastAsia"/>
          <w:sz w:val="18"/>
          <w:szCs w:val="18"/>
        </w:rPr>
        <w:t>业绩比较基准（</w:t>
      </w:r>
      <w:r w:rsidR="00A7035B" w:rsidRPr="00664EB0">
        <w:rPr>
          <w:rFonts w:hint="eastAsia"/>
          <w:sz w:val="18"/>
          <w:szCs w:val="18"/>
        </w:rPr>
        <w:t>理财</w:t>
      </w:r>
      <w:r w:rsidR="00A7035B">
        <w:rPr>
          <w:rFonts w:hint="eastAsia"/>
          <w:sz w:val="18"/>
          <w:szCs w:val="18"/>
        </w:rPr>
        <w:t>年化</w:t>
      </w:r>
      <w:r w:rsidR="0005317E">
        <w:rPr>
          <w:rFonts w:hint="eastAsia"/>
          <w:sz w:val="18"/>
          <w:szCs w:val="18"/>
        </w:rPr>
        <w:t>收益率</w:t>
      </w:r>
      <w:r>
        <w:rPr>
          <w:rFonts w:hint="eastAsia"/>
          <w:sz w:val="18"/>
          <w:szCs w:val="18"/>
        </w:rPr>
        <w:t>）</w:t>
      </w:r>
      <w:r w:rsidR="00A7035B" w:rsidRPr="00664EB0">
        <w:rPr>
          <w:rFonts w:hint="eastAsia"/>
          <w:sz w:val="18"/>
          <w:szCs w:val="18"/>
        </w:rPr>
        <w:t>为</w:t>
      </w:r>
      <w:r w:rsidR="006C4DEE">
        <w:rPr>
          <w:rFonts w:hint="eastAsia"/>
          <w:sz w:val="18"/>
          <w:szCs w:val="18"/>
        </w:rPr>
        <w:t>4.65%</w:t>
      </w:r>
      <w:r w:rsidR="00A7035B"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rFonts w:hint="eastAsia"/>
          <w:sz w:val="18"/>
          <w:szCs w:val="18"/>
        </w:rPr>
        <w:t>测算方法如下：</w:t>
      </w:r>
    </w:p>
    <w:p w:rsidR="00A7035B" w:rsidRPr="00664EB0" w:rsidRDefault="006C5A41" w:rsidP="00D67510">
      <w:pPr>
        <w:adjustRightInd w:val="0"/>
        <w:snapToGrid w:val="0"/>
        <w:spacing w:line="276" w:lineRule="auto"/>
        <w:rPr>
          <w:rFonts w:ascii="宋体" w:hAnsi="宋体"/>
          <w:sz w:val="18"/>
          <w:szCs w:val="18"/>
        </w:rPr>
      </w:pPr>
      <w:r>
        <w:rPr>
          <w:rFonts w:ascii="宋体" w:hAnsi="宋体" w:hint="eastAsia"/>
          <w:sz w:val="18"/>
          <w:szCs w:val="18"/>
        </w:rPr>
        <w:lastRenderedPageBreak/>
        <w:t>业绩比较基准（</w:t>
      </w:r>
      <w:r w:rsidR="00A7035B" w:rsidRPr="00664EB0">
        <w:rPr>
          <w:rFonts w:ascii="宋体" w:hAnsi="宋体" w:hint="eastAsia"/>
          <w:sz w:val="18"/>
          <w:szCs w:val="18"/>
        </w:rPr>
        <w:t>理财</w:t>
      </w:r>
      <w:r w:rsidR="00A7035B">
        <w:rPr>
          <w:rFonts w:ascii="宋体" w:hAnsi="宋体" w:hint="eastAsia"/>
          <w:sz w:val="18"/>
          <w:szCs w:val="18"/>
        </w:rPr>
        <w:t>年化</w:t>
      </w:r>
      <w:r w:rsidR="00A7035B" w:rsidRPr="00664EB0">
        <w:rPr>
          <w:rFonts w:ascii="宋体" w:hAnsi="宋体" w:hint="eastAsia"/>
          <w:sz w:val="18"/>
          <w:szCs w:val="18"/>
        </w:rPr>
        <w:t>收益率</w:t>
      </w:r>
      <w:r>
        <w:rPr>
          <w:rFonts w:ascii="宋体" w:hAnsi="宋体" w:hint="eastAsia"/>
          <w:sz w:val="18"/>
          <w:szCs w:val="18"/>
        </w:rPr>
        <w:t>）</w:t>
      </w:r>
      <w:r w:rsidR="00A7035B" w:rsidRPr="00664EB0">
        <w:rPr>
          <w:rFonts w:ascii="宋体" w:hAnsi="宋体" w:hint="eastAsia"/>
          <w:sz w:val="18"/>
          <w:szCs w:val="18"/>
        </w:rPr>
        <w:t>＝理财年化投资收益率－产品管理费率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其中，理财年化投资收益率=资产组合年化收益率－产品托管费率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资产组合年化收益率=资产组合投资收益</w:t>
      </w:r>
      <w:r w:rsidRPr="00664EB0">
        <w:rPr>
          <w:rFonts w:hint="eastAsia"/>
          <w:sz w:val="18"/>
          <w:szCs w:val="18"/>
        </w:rPr>
        <w:t>／</w:t>
      </w:r>
      <w:r w:rsidRPr="00664EB0">
        <w:rPr>
          <w:rFonts w:ascii="宋体" w:hAnsi="宋体" w:hint="eastAsia"/>
          <w:sz w:val="18"/>
          <w:szCs w:val="18"/>
        </w:rPr>
        <w:t>产品募集资金总额×</w:t>
      </w:r>
      <w:r>
        <w:rPr>
          <w:rFonts w:ascii="宋体" w:hAnsi="宋体" w:hint="eastAsia"/>
          <w:sz w:val="18"/>
          <w:szCs w:val="18"/>
        </w:rPr>
        <w:t>365</w:t>
      </w:r>
      <w:r w:rsidRPr="00664EB0">
        <w:rPr>
          <w:rFonts w:hint="eastAsia"/>
          <w:sz w:val="18"/>
          <w:szCs w:val="18"/>
        </w:rPr>
        <w:t>／</w:t>
      </w:r>
      <w:r w:rsidRPr="00664EB0">
        <w:rPr>
          <w:rFonts w:ascii="宋体" w:hAnsi="宋体" w:hint="eastAsia"/>
          <w:sz w:val="18"/>
          <w:szCs w:val="18"/>
        </w:rPr>
        <w:t>产品实际存续天数</w:t>
      </w:r>
    </w:p>
    <w:p w:rsidR="00481B1B" w:rsidRPr="0036639A" w:rsidRDefault="00481B1B" w:rsidP="00D67510">
      <w:pPr>
        <w:adjustRightInd w:val="0"/>
        <w:snapToGrid w:val="0"/>
        <w:spacing w:line="276" w:lineRule="auto"/>
        <w:rPr>
          <w:sz w:val="18"/>
          <w:szCs w:val="18"/>
        </w:rPr>
      </w:pPr>
      <w:r w:rsidRPr="0036639A">
        <w:rPr>
          <w:rFonts w:hint="eastAsia"/>
          <w:sz w:val="18"/>
          <w:szCs w:val="18"/>
        </w:rPr>
        <w:t>产品到期时，理财收益率根据所投资资产组合的实际运作情况确定。</w:t>
      </w:r>
      <w:r>
        <w:rPr>
          <w:rFonts w:hint="eastAsia"/>
          <w:sz w:val="18"/>
          <w:szCs w:val="18"/>
        </w:rPr>
        <w:t>本产品拟投资的资产主要为固定收益类非标准化债权资产，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36639A">
        <w:rPr>
          <w:rFonts w:hint="eastAsia"/>
          <w:sz w:val="18"/>
          <w:szCs w:val="18"/>
        </w:rPr>
        <w:t>以上金融资产构建的</w:t>
      </w:r>
      <w:r>
        <w:rPr>
          <w:rFonts w:hint="eastAsia"/>
          <w:sz w:val="18"/>
          <w:szCs w:val="18"/>
        </w:rPr>
        <w:t>资产</w:t>
      </w:r>
      <w:r w:rsidRPr="0036639A">
        <w:rPr>
          <w:rFonts w:hint="eastAsia"/>
          <w:sz w:val="18"/>
          <w:szCs w:val="18"/>
        </w:rPr>
        <w:t>组合年化收益率</w:t>
      </w:r>
      <w:r>
        <w:rPr>
          <w:rFonts w:hint="eastAsia"/>
          <w:sz w:val="18"/>
          <w:szCs w:val="18"/>
        </w:rPr>
        <w:t>预计将超过</w:t>
      </w:r>
      <w:r w:rsidR="0005385C">
        <w:rPr>
          <w:rFonts w:hint="eastAsia"/>
          <w:sz w:val="18"/>
          <w:szCs w:val="18"/>
        </w:rPr>
        <w:t>4.</w:t>
      </w:r>
      <w:r w:rsidR="004359A0">
        <w:rPr>
          <w:rFonts w:hint="eastAsia"/>
          <w:sz w:val="18"/>
          <w:szCs w:val="18"/>
        </w:rPr>
        <w:t>75</w:t>
      </w:r>
      <w:r>
        <w:rPr>
          <w:rFonts w:hint="eastAsia"/>
          <w:sz w:val="18"/>
          <w:szCs w:val="18"/>
        </w:rPr>
        <w:t>%</w:t>
      </w:r>
      <w:r>
        <w:rPr>
          <w:rFonts w:hint="eastAsia"/>
          <w:sz w:val="18"/>
          <w:szCs w:val="18"/>
        </w:rPr>
        <w:t>，</w:t>
      </w:r>
      <w:r w:rsidRPr="0036639A">
        <w:rPr>
          <w:rFonts w:hint="eastAsia"/>
          <w:sz w:val="18"/>
          <w:szCs w:val="18"/>
        </w:rPr>
        <w:t>在扣除理财产品管理费</w:t>
      </w:r>
      <w:r>
        <w:rPr>
          <w:rFonts w:hint="eastAsia"/>
          <w:sz w:val="18"/>
          <w:szCs w:val="18"/>
        </w:rPr>
        <w:t>及</w:t>
      </w:r>
      <w:r w:rsidRPr="0036639A">
        <w:rPr>
          <w:rFonts w:hint="eastAsia"/>
          <w:sz w:val="18"/>
          <w:szCs w:val="18"/>
        </w:rPr>
        <w:t>托管费后，</w:t>
      </w:r>
      <w:r>
        <w:rPr>
          <w:rFonts w:hint="eastAsia"/>
          <w:sz w:val="18"/>
          <w:szCs w:val="18"/>
        </w:rPr>
        <w:t>本产品</w:t>
      </w:r>
      <w:r w:rsidR="006C5A41">
        <w:rPr>
          <w:rFonts w:hint="eastAsia"/>
          <w:sz w:val="18"/>
          <w:szCs w:val="18"/>
        </w:rPr>
        <w:t>业绩比较基准（</w:t>
      </w:r>
      <w:r w:rsidRPr="0036639A">
        <w:rPr>
          <w:rFonts w:hint="eastAsia"/>
          <w:sz w:val="18"/>
          <w:szCs w:val="18"/>
        </w:rPr>
        <w:t>理财</w:t>
      </w:r>
      <w:r>
        <w:rPr>
          <w:rFonts w:hint="eastAsia"/>
          <w:sz w:val="18"/>
          <w:szCs w:val="18"/>
        </w:rPr>
        <w:t>年化</w:t>
      </w:r>
      <w:r w:rsidRPr="0036639A">
        <w:rPr>
          <w:rFonts w:hint="eastAsia"/>
          <w:sz w:val="18"/>
          <w:szCs w:val="18"/>
        </w:rPr>
        <w:t>收益率</w:t>
      </w:r>
      <w:r w:rsidR="006C5A41">
        <w:rPr>
          <w:rFonts w:hint="eastAsia"/>
          <w:sz w:val="18"/>
          <w:szCs w:val="18"/>
        </w:rPr>
        <w:t>）</w:t>
      </w:r>
      <w:r w:rsidRPr="0036639A">
        <w:rPr>
          <w:rFonts w:hint="eastAsia"/>
          <w:sz w:val="18"/>
          <w:szCs w:val="18"/>
        </w:rPr>
        <w:t>为</w:t>
      </w:r>
      <w:r w:rsidR="006C4DEE">
        <w:rPr>
          <w:rFonts w:hint="eastAsia"/>
          <w:sz w:val="18"/>
          <w:szCs w:val="18"/>
        </w:rPr>
        <w:t>4.65%</w:t>
      </w:r>
      <w:r w:rsidRPr="0036639A">
        <w:rPr>
          <w:rFonts w:hint="eastAsia"/>
          <w:sz w:val="18"/>
          <w:szCs w:val="18"/>
        </w:rPr>
        <w:t>。以上测算仅为资产组合在指定期间的业绩表现，不代表未来，仅供投资者参考，不作为最终产品实际收益率的支付依据。</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）计算公式</w:t>
      </w:r>
    </w:p>
    <w:p w:rsidR="00A7035B" w:rsidRPr="00664EB0" w:rsidRDefault="00A7035B" w:rsidP="00D67510">
      <w:pPr>
        <w:adjustRightInd w:val="0"/>
        <w:snapToGrid w:val="0"/>
        <w:spacing w:line="276" w:lineRule="auto"/>
        <w:rPr>
          <w:sz w:val="18"/>
          <w:szCs w:val="18"/>
        </w:rPr>
      </w:pPr>
      <w:r w:rsidRPr="00664EB0">
        <w:rPr>
          <w:rFonts w:hint="eastAsia"/>
          <w:sz w:val="18"/>
          <w:szCs w:val="18"/>
        </w:rPr>
        <w:t>投资者理财收益＝认购金额×理财</w:t>
      </w:r>
      <w:r>
        <w:rPr>
          <w:rFonts w:hint="eastAsia"/>
          <w:sz w:val="18"/>
          <w:szCs w:val="18"/>
        </w:rPr>
        <w:t>年化</w:t>
      </w:r>
      <w:r w:rsidRPr="00664EB0">
        <w:rPr>
          <w:rFonts w:hint="eastAsia"/>
          <w:sz w:val="18"/>
          <w:szCs w:val="18"/>
        </w:rPr>
        <w:t>收益率×实际理财天数÷</w:t>
      </w:r>
      <w:r>
        <w:rPr>
          <w:sz w:val="18"/>
          <w:szCs w:val="18"/>
        </w:rPr>
        <w:t>365</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w:t>
      </w:r>
      <w:r w:rsidRPr="00664EB0">
        <w:rPr>
          <w:b/>
          <w:sz w:val="18"/>
          <w:szCs w:val="18"/>
        </w:rPr>
        <w:t>2</w:t>
      </w:r>
      <w:r w:rsidRPr="00664EB0">
        <w:rPr>
          <w:rFonts w:hint="eastAsia"/>
          <w:b/>
          <w:sz w:val="18"/>
          <w:szCs w:val="18"/>
        </w:rPr>
        <w:t>）计算示例</w:t>
      </w:r>
    </w:p>
    <w:p w:rsidR="00481B1B" w:rsidRPr="00664EB0" w:rsidRDefault="00481B1B" w:rsidP="00D67510">
      <w:pPr>
        <w:adjustRightInd w:val="0"/>
        <w:snapToGrid w:val="0"/>
        <w:spacing w:line="276" w:lineRule="auto"/>
        <w:rPr>
          <w:sz w:val="18"/>
          <w:szCs w:val="18"/>
        </w:rPr>
      </w:pPr>
      <w:r w:rsidRPr="00664EB0">
        <w:rPr>
          <w:rFonts w:hint="eastAsia"/>
          <w:sz w:val="18"/>
          <w:szCs w:val="18"/>
        </w:rPr>
        <w:t>假定投资者认购本产品</w:t>
      </w:r>
      <w:r w:rsidR="006C5A41">
        <w:rPr>
          <w:rFonts w:hint="eastAsia"/>
          <w:sz w:val="18"/>
          <w:szCs w:val="18"/>
        </w:rPr>
        <w:t>1</w:t>
      </w:r>
      <w:r w:rsidRPr="00664EB0">
        <w:rPr>
          <w:rFonts w:hint="eastAsia"/>
          <w:sz w:val="18"/>
          <w:szCs w:val="18"/>
        </w:rPr>
        <w:t>万元，</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sidRPr="00664EB0">
        <w:rPr>
          <w:rFonts w:hint="eastAsia"/>
          <w:sz w:val="18"/>
          <w:szCs w:val="18"/>
        </w:rPr>
        <w:t>为</w:t>
      </w:r>
      <w:r w:rsidR="006C4DEE">
        <w:rPr>
          <w:rFonts w:hint="eastAsia"/>
          <w:sz w:val="18"/>
          <w:szCs w:val="18"/>
        </w:rPr>
        <w:t>4.65%</w:t>
      </w:r>
      <w:r w:rsidR="003375CD" w:rsidRPr="00664EB0">
        <w:rPr>
          <w:rFonts w:hint="eastAsia"/>
          <w:sz w:val="18"/>
          <w:szCs w:val="18"/>
        </w:rPr>
        <w:t>，</w:t>
      </w:r>
      <w:r w:rsidRPr="00664EB0">
        <w:rPr>
          <w:rFonts w:hint="eastAsia"/>
          <w:sz w:val="18"/>
          <w:szCs w:val="18"/>
        </w:rPr>
        <w:t>实际理财天数</w:t>
      </w:r>
      <w:r w:rsidR="004359A0">
        <w:rPr>
          <w:rFonts w:hint="eastAsia"/>
          <w:sz w:val="18"/>
          <w:szCs w:val="18"/>
        </w:rPr>
        <w:t>364</w:t>
      </w:r>
      <w:r w:rsidRPr="00664EB0">
        <w:rPr>
          <w:rFonts w:hint="eastAsia"/>
          <w:sz w:val="18"/>
          <w:szCs w:val="18"/>
        </w:rPr>
        <w:t>天，则投资者理财收益为</w:t>
      </w:r>
      <w:r w:rsidR="006C5A41">
        <w:rPr>
          <w:rFonts w:hint="eastAsia"/>
          <w:sz w:val="18"/>
          <w:szCs w:val="18"/>
        </w:rPr>
        <w:t>1</w:t>
      </w:r>
      <w:r>
        <w:rPr>
          <w:rFonts w:hint="eastAsia"/>
          <w:sz w:val="18"/>
          <w:szCs w:val="18"/>
        </w:rPr>
        <w:t>0</w:t>
      </w:r>
      <w:r w:rsidRPr="00664EB0">
        <w:rPr>
          <w:sz w:val="18"/>
          <w:szCs w:val="18"/>
        </w:rPr>
        <w:t>000</w:t>
      </w:r>
      <w:r w:rsidRPr="00664EB0">
        <w:rPr>
          <w:rFonts w:hint="eastAsia"/>
          <w:sz w:val="18"/>
          <w:szCs w:val="18"/>
        </w:rPr>
        <w:t>×</w:t>
      </w:r>
      <w:r w:rsidR="006C4DEE">
        <w:rPr>
          <w:rFonts w:hint="eastAsia"/>
          <w:sz w:val="18"/>
          <w:szCs w:val="18"/>
        </w:rPr>
        <w:t>4.65%</w:t>
      </w:r>
      <w:r w:rsidRPr="00664EB0">
        <w:rPr>
          <w:rFonts w:hint="eastAsia"/>
          <w:sz w:val="18"/>
          <w:szCs w:val="18"/>
        </w:rPr>
        <w:t>×</w:t>
      </w:r>
      <w:r w:rsidR="004359A0">
        <w:rPr>
          <w:rFonts w:hint="eastAsia"/>
          <w:sz w:val="18"/>
          <w:szCs w:val="18"/>
        </w:rPr>
        <w:t>364</w:t>
      </w:r>
      <w:r w:rsidRPr="00664EB0">
        <w:rPr>
          <w:rFonts w:hint="eastAsia"/>
          <w:sz w:val="18"/>
          <w:szCs w:val="18"/>
        </w:rPr>
        <w:t>÷</w:t>
      </w:r>
      <w:r>
        <w:rPr>
          <w:sz w:val="18"/>
          <w:szCs w:val="18"/>
        </w:rPr>
        <w:t>36</w:t>
      </w:r>
      <w:r>
        <w:rPr>
          <w:rFonts w:hint="eastAsia"/>
          <w:sz w:val="18"/>
          <w:szCs w:val="18"/>
        </w:rPr>
        <w:t>5=</w:t>
      </w:r>
      <w:r w:rsidR="004359A0">
        <w:rPr>
          <w:rFonts w:hint="eastAsia"/>
          <w:sz w:val="18"/>
          <w:szCs w:val="18"/>
        </w:rPr>
        <w:t>463.73</w:t>
      </w:r>
      <w:r>
        <w:rPr>
          <w:rFonts w:hint="eastAsia"/>
          <w:sz w:val="18"/>
          <w:szCs w:val="18"/>
        </w:rPr>
        <w:t>元。（</w:t>
      </w:r>
      <w:r w:rsidRPr="00664EB0">
        <w:rPr>
          <w:rFonts w:hint="eastAsia"/>
          <w:sz w:val="18"/>
          <w:szCs w:val="18"/>
        </w:rPr>
        <w:t>上述示例采用假设数据计算，并不代表投资者实际可获得的理财收益。）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、本金及理财收益风险</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）本理财计划不保障本金及收益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2</w:t>
      </w:r>
      <w:r w:rsidRPr="00664EB0">
        <w:rPr>
          <w:rFonts w:hint="eastAsia"/>
          <w:sz w:val="18"/>
          <w:szCs w:val="18"/>
        </w:rPr>
        <w:t>）风险示例</w:t>
      </w:r>
    </w:p>
    <w:p w:rsidR="00A7035B" w:rsidRPr="00664EB0" w:rsidRDefault="00A7035B" w:rsidP="00D67510">
      <w:pPr>
        <w:adjustRightInd w:val="0"/>
        <w:snapToGrid w:val="0"/>
        <w:spacing w:line="276" w:lineRule="auto"/>
        <w:rPr>
          <w:sz w:val="18"/>
          <w:szCs w:val="18"/>
        </w:rPr>
      </w:pPr>
      <w:r w:rsidRPr="00664EB0">
        <w:rPr>
          <w:rFonts w:hint="eastAsia"/>
          <w:sz w:val="18"/>
          <w:szCs w:val="18"/>
        </w:rPr>
        <w:t>本理财计划本金及实际理财</w:t>
      </w:r>
      <w:r>
        <w:rPr>
          <w:rFonts w:hint="eastAsia"/>
          <w:sz w:val="18"/>
          <w:szCs w:val="18"/>
        </w:rPr>
        <w:t>年化</w:t>
      </w:r>
      <w:r w:rsidRPr="00664EB0">
        <w:rPr>
          <w:rFonts w:hint="eastAsia"/>
          <w:sz w:val="18"/>
          <w:szCs w:val="18"/>
        </w:rPr>
        <w:t>收益率取决于所投资</w:t>
      </w:r>
      <w:r>
        <w:rPr>
          <w:rFonts w:hint="eastAsia"/>
          <w:sz w:val="18"/>
          <w:szCs w:val="18"/>
        </w:rPr>
        <w:t>资产组合</w:t>
      </w:r>
      <w:r w:rsidRPr="00664EB0">
        <w:rPr>
          <w:rFonts w:hint="eastAsia"/>
          <w:sz w:val="18"/>
          <w:szCs w:val="18"/>
        </w:rPr>
        <w:t>的收益率水平，受</w:t>
      </w:r>
      <w:r w:rsidRPr="00664EB0">
        <w:rPr>
          <w:rFonts w:ascii="宋体" w:hAnsi="宋体"/>
          <w:sz w:val="18"/>
          <w:szCs w:val="18"/>
        </w:rPr>
        <w:t>债券市场变化或波动</w:t>
      </w:r>
      <w:r w:rsidRPr="00664EB0">
        <w:rPr>
          <w:rFonts w:hint="eastAsia"/>
          <w:sz w:val="18"/>
          <w:szCs w:val="18"/>
        </w:rPr>
        <w:t>，投资管理方投资能力有限等因素的影响。</w:t>
      </w:r>
    </w:p>
    <w:p w:rsidR="00A7035B" w:rsidRPr="00664EB0" w:rsidRDefault="00A7035B" w:rsidP="00D67510">
      <w:pPr>
        <w:adjustRightInd w:val="0"/>
        <w:snapToGrid w:val="0"/>
        <w:spacing w:line="276" w:lineRule="auto"/>
        <w:rPr>
          <w:sz w:val="18"/>
          <w:szCs w:val="18"/>
        </w:rPr>
      </w:pPr>
      <w:r w:rsidRPr="00664EB0">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w:t>
      </w:r>
      <w:r>
        <w:rPr>
          <w:rFonts w:hint="eastAsia"/>
          <w:sz w:val="18"/>
          <w:szCs w:val="18"/>
        </w:rPr>
        <w:t>年化</w:t>
      </w:r>
      <w:r w:rsidRPr="00664EB0">
        <w:rPr>
          <w:rFonts w:hint="eastAsia"/>
          <w:sz w:val="18"/>
          <w:szCs w:val="18"/>
        </w:rPr>
        <w:t>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、理财计划提前终止时投资者所得收益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在理财期内，如温州银行在特定情况下提前终止理财计划，此时投资者的理财收益仍按照上述“投资者所得收益”条款中的计算公式计算。</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本金及理财收益支付</w:t>
      </w:r>
    </w:p>
    <w:p w:rsidR="00A7035B" w:rsidRPr="00664EB0" w:rsidRDefault="00A7035B" w:rsidP="00D67510">
      <w:pPr>
        <w:adjustRightInd w:val="0"/>
        <w:snapToGrid w:val="0"/>
        <w:spacing w:line="276" w:lineRule="auto"/>
        <w:rPr>
          <w:sz w:val="18"/>
          <w:szCs w:val="18"/>
        </w:rPr>
      </w:pPr>
      <w:r w:rsidRPr="00664EB0">
        <w:rPr>
          <w:rFonts w:hint="eastAsia"/>
          <w:sz w:val="18"/>
          <w:szCs w:val="18"/>
        </w:rPr>
        <w:t>理财期满，温州银行在到期日后</w:t>
      </w:r>
      <w:r w:rsidRPr="00664EB0">
        <w:rPr>
          <w:sz w:val="18"/>
          <w:szCs w:val="18"/>
        </w:rPr>
        <w:t>1</w:t>
      </w:r>
      <w:r w:rsidRPr="00664EB0">
        <w:rPr>
          <w:rFonts w:hint="eastAsia"/>
          <w:sz w:val="18"/>
          <w:szCs w:val="18"/>
        </w:rPr>
        <w:t>个工作日内对理财计划进行清算，并向托管人出具清算指令，托管人收到清算指令后将理财本金及理财收益划转至温州银行。温州银行在收到理财本金及理财收益后</w:t>
      </w:r>
      <w:r w:rsidRPr="00664EB0">
        <w:rPr>
          <w:sz w:val="18"/>
          <w:szCs w:val="18"/>
        </w:rPr>
        <w:t>1</w:t>
      </w:r>
      <w:r w:rsidRPr="00664EB0">
        <w:rPr>
          <w:rFonts w:hint="eastAsia"/>
          <w:sz w:val="18"/>
          <w:szCs w:val="18"/>
        </w:rPr>
        <w:t>个工作日内将投资者理财本金和应得收益划转至投资者指定资金账户。（上述自到期日到投资者收到理财本金和应得收益的过程一般情况下在</w:t>
      </w:r>
      <w:r w:rsidRPr="00664EB0">
        <w:rPr>
          <w:sz w:val="18"/>
          <w:szCs w:val="18"/>
        </w:rPr>
        <w:t>3</w:t>
      </w:r>
      <w:r w:rsidRPr="00664EB0">
        <w:rPr>
          <w:rFonts w:hint="eastAsia"/>
          <w:sz w:val="18"/>
          <w:szCs w:val="18"/>
        </w:rPr>
        <w:t>个工作日之内。）</w:t>
      </w:r>
    </w:p>
    <w:p w:rsidR="00A7035B" w:rsidRPr="00664EB0" w:rsidRDefault="00A7035B" w:rsidP="00D67510">
      <w:pPr>
        <w:adjustRightInd w:val="0"/>
        <w:snapToGrid w:val="0"/>
        <w:spacing w:line="276" w:lineRule="auto"/>
        <w:rPr>
          <w:sz w:val="18"/>
          <w:szCs w:val="18"/>
        </w:rPr>
      </w:pPr>
      <w:r w:rsidRPr="00664EB0">
        <w:rPr>
          <w:rFonts w:hint="eastAsia"/>
          <w:sz w:val="18"/>
          <w:szCs w:val="18"/>
        </w:rPr>
        <w:t>如果温州银行提前终止理财计划，理财到期日也相应提前到理财计划实际终止日。</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税费规定</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、投资于本理财计划的收益的应纳税款由投资人自行缴纳。但若根据法令的规定或税务等国家机关的命令或要求，银行有义务代扣代缴客户承担的税费时，银行将进行代扣代缴。</w:t>
      </w:r>
    </w:p>
    <w:p w:rsidR="00A7035B" w:rsidRDefault="00A7035B" w:rsidP="00D67510">
      <w:pPr>
        <w:widowControl/>
        <w:adjustRightInd w:val="0"/>
        <w:snapToGrid w:val="0"/>
        <w:spacing w:line="276" w:lineRule="auto"/>
        <w:outlineLvl w:val="0"/>
        <w:rPr>
          <w:sz w:val="18"/>
          <w:szCs w:val="18"/>
        </w:rPr>
      </w:pPr>
      <w:r w:rsidRPr="00664EB0">
        <w:rPr>
          <w:rFonts w:hint="eastAsia"/>
          <w:sz w:val="18"/>
          <w:szCs w:val="18"/>
        </w:rPr>
        <w:t>2</w:t>
      </w:r>
      <w:r w:rsidRPr="00664EB0">
        <w:rPr>
          <w:rFonts w:hint="eastAsia"/>
          <w:sz w:val="18"/>
          <w:szCs w:val="18"/>
        </w:rPr>
        <w:t>、产品托管费：本理财计划托管人收取</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的固定托管费，计算方式为：理财募集资金总额×</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×实际理财天数／</w:t>
      </w:r>
      <w:r>
        <w:rPr>
          <w:rFonts w:hint="eastAsia"/>
          <w:sz w:val="18"/>
          <w:szCs w:val="18"/>
        </w:rPr>
        <w:t>365</w:t>
      </w:r>
      <w:r w:rsidRPr="00664EB0">
        <w:rPr>
          <w:rFonts w:hint="eastAsia"/>
          <w:sz w:val="18"/>
          <w:szCs w:val="18"/>
        </w:rPr>
        <w:t>，托管费于理财到期（或终止）清算分配时从理财财产中支付。</w:t>
      </w:r>
    </w:p>
    <w:p w:rsidR="00A7035B" w:rsidRPr="00664EB0" w:rsidRDefault="00A7035B" w:rsidP="00D67510">
      <w:pPr>
        <w:widowControl/>
        <w:adjustRightInd w:val="0"/>
        <w:snapToGrid w:val="0"/>
        <w:spacing w:line="276" w:lineRule="auto"/>
        <w:outlineLvl w:val="0"/>
        <w:rPr>
          <w:sz w:val="18"/>
          <w:szCs w:val="18"/>
        </w:rPr>
      </w:pPr>
      <w:r>
        <w:rPr>
          <w:rFonts w:hint="eastAsia"/>
          <w:sz w:val="18"/>
          <w:szCs w:val="18"/>
        </w:rPr>
        <w:t>3</w:t>
      </w:r>
      <w:r>
        <w:rPr>
          <w:rFonts w:hint="eastAsia"/>
          <w:sz w:val="18"/>
          <w:szCs w:val="18"/>
        </w:rPr>
        <w:t>、</w:t>
      </w:r>
      <w:r w:rsidRPr="00664EB0">
        <w:rPr>
          <w:rFonts w:hint="eastAsia"/>
          <w:sz w:val="18"/>
          <w:szCs w:val="18"/>
        </w:rPr>
        <w:t>产品管理费：本理财计划采用浮动管理费方式，计算方式为：</w:t>
      </w:r>
      <w:r w:rsidR="00873843" w:rsidRPr="004F0B2B">
        <w:rPr>
          <w:rFonts w:hint="eastAsia"/>
          <w:sz w:val="18"/>
          <w:szCs w:val="18"/>
        </w:rPr>
        <w:t>如理财产品所配置资产最终投资收益</w:t>
      </w:r>
      <w:r w:rsidR="00873843">
        <w:rPr>
          <w:rFonts w:hint="eastAsia"/>
          <w:sz w:val="18"/>
          <w:szCs w:val="18"/>
        </w:rPr>
        <w:t>在</w:t>
      </w:r>
      <w:r w:rsidR="00873843" w:rsidRPr="004F0B2B">
        <w:rPr>
          <w:rFonts w:hint="eastAsia"/>
          <w:sz w:val="18"/>
          <w:szCs w:val="18"/>
        </w:rPr>
        <w:t>扣除</w:t>
      </w:r>
      <w:r w:rsidR="00873843">
        <w:rPr>
          <w:rFonts w:hint="eastAsia"/>
          <w:sz w:val="18"/>
          <w:szCs w:val="18"/>
        </w:rPr>
        <w:t>产品</w:t>
      </w:r>
      <w:r w:rsidR="00873843" w:rsidRPr="004F0B2B">
        <w:rPr>
          <w:rFonts w:hint="eastAsia"/>
          <w:sz w:val="18"/>
          <w:szCs w:val="18"/>
        </w:rPr>
        <w:t>托管费</w:t>
      </w:r>
      <w:r w:rsidR="0088063C">
        <w:rPr>
          <w:rFonts w:hint="eastAsia"/>
          <w:sz w:val="18"/>
          <w:szCs w:val="18"/>
        </w:rPr>
        <w:t>等费用</w:t>
      </w:r>
      <w:r w:rsidR="00873843" w:rsidRPr="004F0B2B">
        <w:rPr>
          <w:rFonts w:hint="eastAsia"/>
          <w:sz w:val="18"/>
          <w:szCs w:val="18"/>
        </w:rPr>
        <w:t>后低于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w:t>
      </w:r>
      <w:r w:rsidR="00873843">
        <w:rPr>
          <w:rFonts w:hint="eastAsia"/>
          <w:sz w:val="18"/>
          <w:szCs w:val="18"/>
        </w:rPr>
        <w:t>温州银行将免收产品</w:t>
      </w:r>
      <w:r w:rsidR="00873843" w:rsidRPr="004F0B2B">
        <w:rPr>
          <w:rFonts w:hint="eastAsia"/>
          <w:sz w:val="18"/>
          <w:szCs w:val="18"/>
        </w:rPr>
        <w:t>管理费；如理财产品所配置资产最终投资收益扣除托管费</w:t>
      </w:r>
      <w:r w:rsidR="0088063C">
        <w:rPr>
          <w:rFonts w:hint="eastAsia"/>
          <w:sz w:val="18"/>
          <w:szCs w:val="18"/>
        </w:rPr>
        <w:t>等费用</w:t>
      </w:r>
      <w:r w:rsidR="00873843" w:rsidRPr="004F0B2B">
        <w:rPr>
          <w:rFonts w:hint="eastAsia"/>
          <w:sz w:val="18"/>
          <w:szCs w:val="18"/>
        </w:rPr>
        <w:t>后高于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，超出部分作</w:t>
      </w:r>
      <w:r w:rsidR="00873843">
        <w:rPr>
          <w:rFonts w:hint="eastAsia"/>
          <w:sz w:val="18"/>
          <w:szCs w:val="18"/>
        </w:rPr>
        <w:t>为我行产品管理费，</w:t>
      </w:r>
      <w:r w:rsidR="00873843" w:rsidRPr="00664EB0">
        <w:rPr>
          <w:rFonts w:hint="eastAsia"/>
          <w:sz w:val="18"/>
          <w:szCs w:val="18"/>
        </w:rPr>
        <w:t>管理费于理财到期（或终止）清算分配时从理财财产中支付给温州银行。</w:t>
      </w:r>
    </w:p>
    <w:p w:rsidR="00A7035B" w:rsidRPr="00664EB0" w:rsidRDefault="00A7035B" w:rsidP="00D67510">
      <w:pPr>
        <w:adjustRightInd w:val="0"/>
        <w:snapToGrid w:val="0"/>
        <w:spacing w:before="120" w:line="276" w:lineRule="auto"/>
        <w:rPr>
          <w:b/>
          <w:sz w:val="18"/>
          <w:szCs w:val="18"/>
        </w:rPr>
      </w:pPr>
      <w:r w:rsidRPr="00664EB0">
        <w:rPr>
          <w:rFonts w:hint="eastAsia"/>
          <w:b/>
          <w:sz w:val="18"/>
          <w:szCs w:val="18"/>
        </w:rPr>
        <w:t>风险提示</w:t>
      </w:r>
    </w:p>
    <w:p w:rsidR="00A7035B" w:rsidRPr="00664EB0" w:rsidRDefault="00A7035B" w:rsidP="00D67510">
      <w:pPr>
        <w:adjustRightInd w:val="0"/>
        <w:snapToGrid w:val="0"/>
        <w:spacing w:line="276" w:lineRule="auto"/>
        <w:rPr>
          <w:sz w:val="18"/>
          <w:szCs w:val="18"/>
        </w:rPr>
      </w:pPr>
      <w:r w:rsidRPr="00664EB0">
        <w:rPr>
          <w:rFonts w:hint="eastAsia"/>
          <w:b/>
          <w:sz w:val="18"/>
          <w:szCs w:val="18"/>
        </w:rPr>
        <w:t>本理财计划是</w:t>
      </w:r>
      <w:r>
        <w:rPr>
          <w:rFonts w:hint="eastAsia"/>
          <w:b/>
          <w:sz w:val="18"/>
          <w:szCs w:val="18"/>
        </w:rPr>
        <w:t>高</w:t>
      </w:r>
      <w:r w:rsidRPr="00664EB0">
        <w:rPr>
          <w:rFonts w:hint="eastAsia"/>
          <w:b/>
          <w:sz w:val="18"/>
          <w:szCs w:val="18"/>
        </w:rPr>
        <w:t>风险投资产品，您的本金可能会因市场变动而蒙受重大损失，您应充分认识以下投资风险，谨慎投资：</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、理财本金及收益风险：</w:t>
      </w:r>
      <w:r w:rsidRPr="00B57082">
        <w:rPr>
          <w:rFonts w:hint="eastAsia"/>
          <w:sz w:val="18"/>
          <w:szCs w:val="18"/>
        </w:rPr>
        <w:t>本理财计划为非保本浮动收益理财计划，不</w:t>
      </w:r>
      <w:r>
        <w:rPr>
          <w:rFonts w:hint="eastAsia"/>
          <w:sz w:val="18"/>
          <w:szCs w:val="18"/>
        </w:rPr>
        <w:t>保证</w:t>
      </w:r>
      <w:r w:rsidRPr="00B57082">
        <w:rPr>
          <w:rFonts w:hint="eastAsia"/>
          <w:sz w:val="18"/>
          <w:szCs w:val="18"/>
        </w:rPr>
        <w:t>本金及收益。理财计划本金及收益到期返还来源于所投资</w:t>
      </w:r>
      <w:r>
        <w:rPr>
          <w:rFonts w:hint="eastAsia"/>
          <w:sz w:val="18"/>
          <w:szCs w:val="18"/>
        </w:rPr>
        <w:t>资产组合到期收回的本金及投资收益，如所投资产组合未能达到事先测算的收益水平</w:t>
      </w:r>
      <w:r w:rsidRPr="00B57082">
        <w:rPr>
          <w:rFonts w:hint="eastAsia"/>
          <w:sz w:val="18"/>
          <w:szCs w:val="18"/>
        </w:rPr>
        <w:t>，使得本产品未能按时足额收回投资本金及收益，本产品的收益率可能低于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Pr="00B57082">
        <w:rPr>
          <w:rFonts w:hint="eastAsia"/>
          <w:sz w:val="18"/>
          <w:szCs w:val="18"/>
        </w:rPr>
        <w:t>，收益可能为</w:t>
      </w:r>
      <w:r w:rsidRPr="00B57082">
        <w:rPr>
          <w:sz w:val="18"/>
          <w:szCs w:val="18"/>
        </w:rPr>
        <w:t>0</w:t>
      </w:r>
      <w:r w:rsidRPr="00B57082">
        <w:rPr>
          <w:rFonts w:hint="eastAsia"/>
          <w:sz w:val="18"/>
          <w:szCs w:val="18"/>
        </w:rPr>
        <w:t>，甚至发生本金损失。则由此产生的理财本金及收益损失的风险由投资者自行承担。</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、管理风险：</w:t>
      </w:r>
      <w:r w:rsidRPr="00B57082">
        <w:rPr>
          <w:sz w:val="18"/>
          <w:szCs w:val="18"/>
        </w:rPr>
        <w:t>在管理运作过程中，可能因</w:t>
      </w:r>
      <w:r>
        <w:rPr>
          <w:rFonts w:hint="eastAsia"/>
          <w:sz w:val="18"/>
          <w:szCs w:val="18"/>
        </w:rPr>
        <w:t>理财资金的</w:t>
      </w:r>
      <w:r w:rsidRPr="00B57082">
        <w:rPr>
          <w:rFonts w:hint="eastAsia"/>
          <w:sz w:val="18"/>
          <w:szCs w:val="18"/>
        </w:rPr>
        <w:t>投资管理人</w:t>
      </w:r>
      <w:r w:rsidRPr="00B57082">
        <w:rPr>
          <w:sz w:val="18"/>
          <w:szCs w:val="18"/>
        </w:rPr>
        <w:t>对经济形势和证券市场等判断有误、获取的信息不全等影响</w:t>
      </w:r>
      <w:r w:rsidRPr="00B57082">
        <w:rPr>
          <w:rFonts w:hint="eastAsia"/>
          <w:sz w:val="18"/>
          <w:szCs w:val="18"/>
        </w:rPr>
        <w:t>理财</w:t>
      </w:r>
      <w:r w:rsidRPr="00B57082">
        <w:rPr>
          <w:sz w:val="18"/>
          <w:szCs w:val="18"/>
        </w:rPr>
        <w:t>的收益水平。</w:t>
      </w:r>
      <w:r w:rsidRPr="00B57082">
        <w:rPr>
          <w:rFonts w:hint="eastAsia"/>
          <w:sz w:val="18"/>
          <w:szCs w:val="18"/>
        </w:rPr>
        <w:t>投资管理人的</w:t>
      </w:r>
      <w:r w:rsidRPr="00B57082">
        <w:rPr>
          <w:sz w:val="18"/>
          <w:szCs w:val="18"/>
        </w:rPr>
        <w:t>管理水平、管理手段和管理技术等对</w:t>
      </w:r>
      <w:r w:rsidRPr="00B57082">
        <w:rPr>
          <w:rFonts w:hint="eastAsia"/>
          <w:sz w:val="18"/>
          <w:szCs w:val="18"/>
        </w:rPr>
        <w:t>理财计划的</w:t>
      </w:r>
      <w:r w:rsidRPr="00B57082">
        <w:rPr>
          <w:sz w:val="18"/>
          <w:szCs w:val="18"/>
        </w:rPr>
        <w:t>收益水平存在影响。</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、政策风险：本理财计划是针对当前的相关法规和政策设计的。如国家宏观政策以及市场相关法规政策发生变化，可能影响理财计划的受理、投资、偿还等的正常进行，甚至导致本理财计划收益降低。</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、流动性风险：本理财计划在存续期内投资者不得提前赎回，可能影响投资者的资金安排，带来流动性风险。</w:t>
      </w:r>
    </w:p>
    <w:p w:rsidR="00A7035B" w:rsidRPr="00664EB0" w:rsidRDefault="00A7035B" w:rsidP="00D67510">
      <w:pPr>
        <w:adjustRightInd w:val="0"/>
        <w:snapToGrid w:val="0"/>
        <w:spacing w:line="276" w:lineRule="auto"/>
        <w:rPr>
          <w:sz w:val="18"/>
          <w:szCs w:val="18"/>
        </w:rPr>
      </w:pPr>
      <w:r w:rsidRPr="00664EB0">
        <w:rPr>
          <w:sz w:val="18"/>
          <w:szCs w:val="18"/>
        </w:rPr>
        <w:lastRenderedPageBreak/>
        <w:t>5</w:t>
      </w:r>
      <w:r w:rsidRPr="00664EB0">
        <w:rPr>
          <w:rFonts w:hint="eastAsia"/>
          <w:sz w:val="18"/>
          <w:szCs w:val="18"/>
        </w:rPr>
        <w:t>、市场风险：</w:t>
      </w:r>
      <w:r w:rsidRPr="00664EB0">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rsidR="00A7035B" w:rsidRPr="00664EB0" w:rsidRDefault="00A7035B" w:rsidP="00D67510">
      <w:pPr>
        <w:adjustRightInd w:val="0"/>
        <w:snapToGrid w:val="0"/>
        <w:spacing w:line="276" w:lineRule="auto"/>
        <w:rPr>
          <w:sz w:val="18"/>
          <w:szCs w:val="18"/>
        </w:rPr>
      </w:pPr>
      <w:r w:rsidRPr="00664EB0">
        <w:rPr>
          <w:sz w:val="18"/>
          <w:szCs w:val="18"/>
        </w:rPr>
        <w:t>6</w:t>
      </w:r>
      <w:r w:rsidRPr="00664EB0">
        <w:rPr>
          <w:rFonts w:hint="eastAsia"/>
          <w:sz w:val="18"/>
          <w:szCs w:val="18"/>
        </w:rPr>
        <w:t>、早偿风险：如温州银行在特定情况下提前终止理财，则投资者可能将无法实现期初预期的全部收益。</w:t>
      </w:r>
    </w:p>
    <w:p w:rsidR="00A7035B" w:rsidRPr="00664EB0" w:rsidRDefault="00A7035B" w:rsidP="00D67510">
      <w:pPr>
        <w:adjustRightInd w:val="0"/>
        <w:snapToGrid w:val="0"/>
        <w:spacing w:line="276" w:lineRule="auto"/>
        <w:rPr>
          <w:sz w:val="18"/>
          <w:szCs w:val="18"/>
        </w:rPr>
      </w:pPr>
      <w:r w:rsidRPr="00664EB0">
        <w:rPr>
          <w:rFonts w:ascii="宋体" w:hAnsi="宋体" w:hint="eastAsia"/>
          <w:sz w:val="18"/>
          <w:szCs w:val="18"/>
        </w:rPr>
        <w:t>7、</w:t>
      </w:r>
      <w:r w:rsidRPr="00664EB0">
        <w:rPr>
          <w:rFonts w:ascii="宋体" w:hAnsi="宋体"/>
          <w:sz w:val="18"/>
          <w:szCs w:val="18"/>
        </w:rPr>
        <w:t>信用风险</w:t>
      </w:r>
      <w:r w:rsidRPr="00664EB0">
        <w:rPr>
          <w:rFonts w:ascii="宋体" w:hAnsi="宋体" w:hint="eastAsia"/>
          <w:sz w:val="18"/>
          <w:szCs w:val="18"/>
        </w:rPr>
        <w:t>：</w:t>
      </w:r>
      <w:r w:rsidRPr="00AF6BDD">
        <w:rPr>
          <w:rFonts w:hint="eastAsia"/>
          <w:sz w:val="18"/>
          <w:szCs w:val="18"/>
        </w:rPr>
        <w:t>可能因交易对手违约或者其他原因导致到期投资品种不能得到及时足额清偿，进而造成</w:t>
      </w:r>
      <w:r>
        <w:rPr>
          <w:rFonts w:hint="eastAsia"/>
          <w:sz w:val="18"/>
          <w:szCs w:val="18"/>
        </w:rPr>
        <w:t>理财</w:t>
      </w:r>
      <w:r w:rsidRPr="00AF6BDD">
        <w:rPr>
          <w:rFonts w:hint="eastAsia"/>
          <w:sz w:val="18"/>
          <w:szCs w:val="18"/>
        </w:rPr>
        <w:t>财产损失。</w:t>
      </w:r>
    </w:p>
    <w:p w:rsidR="00A7035B" w:rsidRPr="00664EB0" w:rsidRDefault="00A7035B" w:rsidP="00D67510">
      <w:pPr>
        <w:pStyle w:val="a5"/>
        <w:adjustRightInd w:val="0"/>
        <w:snapToGrid w:val="0"/>
        <w:spacing w:line="276" w:lineRule="auto"/>
        <w:ind w:firstLine="0"/>
        <w:rPr>
          <w:sz w:val="18"/>
          <w:szCs w:val="18"/>
        </w:rPr>
      </w:pPr>
      <w:r w:rsidRPr="00664EB0">
        <w:rPr>
          <w:rFonts w:ascii="宋体" w:hAnsi="宋体" w:hint="eastAsia"/>
          <w:sz w:val="18"/>
          <w:szCs w:val="18"/>
        </w:rPr>
        <w:t>8、</w:t>
      </w:r>
      <w:r w:rsidRPr="00664EB0">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rsidR="00A7035B" w:rsidRPr="00664EB0" w:rsidRDefault="00A7035B" w:rsidP="00D67510">
      <w:pPr>
        <w:adjustRightInd w:val="0"/>
        <w:snapToGrid w:val="0"/>
        <w:spacing w:line="276" w:lineRule="auto"/>
        <w:rPr>
          <w:sz w:val="18"/>
          <w:szCs w:val="18"/>
        </w:rPr>
      </w:pPr>
      <w:r>
        <w:rPr>
          <w:rFonts w:hint="eastAsia"/>
          <w:sz w:val="18"/>
          <w:szCs w:val="18"/>
        </w:rPr>
        <w:t>9</w:t>
      </w:r>
      <w:r w:rsidRPr="00664EB0">
        <w:rPr>
          <w:rFonts w:hint="eastAsia"/>
          <w:sz w:val="18"/>
          <w:szCs w:val="18"/>
        </w:rPr>
        <w:t>、信息传递风险：本理财计划存续期内不提供账单。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sidRPr="00664EB0">
        <w:rPr>
          <w:sz w:val="18"/>
          <w:szCs w:val="18"/>
        </w:rPr>
        <w:t xml:space="preserve"> </w:t>
      </w:r>
    </w:p>
    <w:p w:rsidR="00A7035B" w:rsidRDefault="00A7035B" w:rsidP="00D67510">
      <w:pPr>
        <w:adjustRightInd w:val="0"/>
        <w:snapToGrid w:val="0"/>
        <w:spacing w:line="276" w:lineRule="auto"/>
        <w:rPr>
          <w:sz w:val="18"/>
          <w:szCs w:val="18"/>
        </w:rPr>
      </w:pPr>
      <w:r w:rsidRPr="00664EB0">
        <w:rPr>
          <w:rFonts w:hint="eastAsia"/>
          <w:sz w:val="18"/>
          <w:szCs w:val="18"/>
        </w:rPr>
        <w:t>1</w:t>
      </w:r>
      <w:r>
        <w:rPr>
          <w:rFonts w:hint="eastAsia"/>
          <w:sz w:val="18"/>
          <w:szCs w:val="18"/>
        </w:rPr>
        <w:t>0</w:t>
      </w:r>
      <w:r w:rsidRPr="00664EB0">
        <w:rPr>
          <w:rFonts w:hint="eastAsia"/>
          <w:sz w:val="18"/>
          <w:szCs w:val="18"/>
        </w:rPr>
        <w:t>、其他风险：指由于自然灾害、战争等不可抗力因素的出现，将严重影响金融市场的正常运行，从而导致理财资产收益降低或损失，甚至影响理财计划的受理、投资、偿还等的正常进行。</w:t>
      </w:r>
    </w:p>
    <w:p w:rsidR="00A7035B" w:rsidRPr="00664EB0" w:rsidRDefault="00A7035B" w:rsidP="00D67510">
      <w:pPr>
        <w:adjustRightInd w:val="0"/>
        <w:snapToGrid w:val="0"/>
        <w:spacing w:line="276" w:lineRule="auto"/>
        <w:rPr>
          <w:sz w:val="18"/>
          <w:szCs w:val="18"/>
        </w:rPr>
      </w:pPr>
      <w:r w:rsidRPr="00664EB0">
        <w:rPr>
          <w:rFonts w:ascii="宋体" w:hAnsi="宋体" w:hint="eastAsia"/>
          <w:b/>
          <w:sz w:val="18"/>
          <w:szCs w:val="18"/>
        </w:rPr>
        <w:t>风险监测和控制措施：</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sz w:val="18"/>
          <w:szCs w:val="18"/>
        </w:rPr>
        <w:t>针对</w:t>
      </w:r>
      <w:r w:rsidRPr="00664EB0">
        <w:rPr>
          <w:rFonts w:ascii="宋体" w:hAnsi="宋体" w:hint="eastAsia"/>
          <w:sz w:val="18"/>
          <w:szCs w:val="18"/>
        </w:rPr>
        <w:t>上述</w:t>
      </w:r>
      <w:r w:rsidRPr="00664EB0">
        <w:rPr>
          <w:rFonts w:ascii="宋体" w:hAnsi="宋体"/>
          <w:sz w:val="18"/>
          <w:szCs w:val="18"/>
        </w:rPr>
        <w:t>提及的风险，</w:t>
      </w:r>
      <w:r w:rsidRPr="00664EB0">
        <w:rPr>
          <w:rFonts w:ascii="宋体" w:hAnsi="宋体" w:hint="eastAsia"/>
          <w:sz w:val="18"/>
          <w:szCs w:val="18"/>
        </w:rPr>
        <w:t>温州银行</w:t>
      </w:r>
      <w:r w:rsidRPr="00664EB0">
        <w:rPr>
          <w:rFonts w:ascii="宋体" w:hAnsi="宋体"/>
          <w:sz w:val="18"/>
          <w:szCs w:val="18"/>
        </w:rPr>
        <w:t>将采取以下措施防范和控制风险，但并不保证以下措施可以覆盖和排除在管理本</w:t>
      </w:r>
      <w:r w:rsidRPr="00664EB0">
        <w:rPr>
          <w:rFonts w:ascii="宋体" w:hAnsi="宋体" w:hint="eastAsia"/>
          <w:sz w:val="18"/>
          <w:szCs w:val="18"/>
        </w:rPr>
        <w:t>产品</w:t>
      </w:r>
      <w:r w:rsidRPr="00664EB0">
        <w:rPr>
          <w:rFonts w:ascii="宋体" w:hAnsi="宋体"/>
          <w:sz w:val="18"/>
          <w:szCs w:val="18"/>
        </w:rPr>
        <w:t>过程中所可能涉及的全部风险</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1、市场风险的管控措施：温州银行将密切注意国家政策变化、经济周期、利率变化、通货膨胀等对</w:t>
      </w:r>
      <w:r>
        <w:rPr>
          <w:rFonts w:ascii="宋体" w:hAnsi="宋体" w:hint="eastAsia"/>
          <w:sz w:val="18"/>
          <w:szCs w:val="18"/>
        </w:rPr>
        <w:t>相关</w:t>
      </w:r>
      <w:r w:rsidRPr="00664EB0">
        <w:rPr>
          <w:rFonts w:ascii="宋体" w:hAnsi="宋体" w:hint="eastAsia"/>
          <w:sz w:val="18"/>
          <w:szCs w:val="18"/>
        </w:rPr>
        <w:t>投资品种的影响，及时合理配置资产，以降低市场风险可能使理财财产遭受的损失</w:t>
      </w:r>
      <w:r w:rsidRPr="00664EB0">
        <w:rPr>
          <w:rFonts w:ascii="宋体" w:hAnsi="宋体"/>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2、管理风险的管控措施：温州银行</w:t>
      </w:r>
      <w:r w:rsidRPr="00664EB0">
        <w:rPr>
          <w:rFonts w:ascii="宋体" w:hAnsi="宋体"/>
          <w:sz w:val="18"/>
          <w:szCs w:val="18"/>
        </w:rPr>
        <w:t>将加强内部管理，恪尽职守，</w:t>
      </w:r>
      <w:r w:rsidRPr="00664EB0">
        <w:rPr>
          <w:rFonts w:ascii="宋体" w:hAnsi="宋体" w:hint="eastAsia"/>
          <w:sz w:val="18"/>
          <w:szCs w:val="18"/>
        </w:rPr>
        <w:t>督促</w:t>
      </w:r>
      <w:r>
        <w:rPr>
          <w:rFonts w:ascii="宋体" w:hAnsi="宋体" w:hint="eastAsia"/>
          <w:sz w:val="18"/>
          <w:szCs w:val="18"/>
        </w:rPr>
        <w:t>合作机构</w:t>
      </w:r>
      <w:r w:rsidRPr="00664EB0">
        <w:rPr>
          <w:rFonts w:ascii="宋体" w:hAnsi="宋体"/>
          <w:sz w:val="18"/>
          <w:szCs w:val="18"/>
        </w:rPr>
        <w:t>加强对信息的采集和科学的分析，力争降低因</w:t>
      </w:r>
      <w:r w:rsidRPr="00664EB0">
        <w:rPr>
          <w:rFonts w:ascii="宋体" w:hAnsi="宋体" w:hint="eastAsia"/>
          <w:sz w:val="18"/>
          <w:szCs w:val="18"/>
        </w:rPr>
        <w:t>其</w:t>
      </w:r>
      <w:r w:rsidRPr="00664EB0">
        <w:rPr>
          <w:rFonts w:ascii="宋体" w:hAnsi="宋体"/>
          <w:sz w:val="18"/>
          <w:szCs w:val="18"/>
        </w:rPr>
        <w:t>管理不当而对</w:t>
      </w:r>
      <w:r w:rsidRPr="00664EB0">
        <w:rPr>
          <w:rFonts w:ascii="宋体" w:hAnsi="宋体" w:hint="eastAsia"/>
          <w:sz w:val="18"/>
          <w:szCs w:val="18"/>
        </w:rPr>
        <w:t>理财</w:t>
      </w:r>
      <w:r w:rsidRPr="00664EB0">
        <w:rPr>
          <w:rFonts w:ascii="宋体" w:hAnsi="宋体"/>
          <w:sz w:val="18"/>
          <w:szCs w:val="18"/>
        </w:rPr>
        <w:t>财产</w:t>
      </w:r>
      <w:r w:rsidRPr="00664EB0">
        <w:rPr>
          <w:rFonts w:ascii="宋体" w:hAnsi="宋体" w:hint="eastAsia"/>
          <w:sz w:val="18"/>
          <w:szCs w:val="18"/>
        </w:rPr>
        <w:t>造成的</w:t>
      </w:r>
      <w:r w:rsidRPr="00664EB0">
        <w:rPr>
          <w:rFonts w:ascii="宋体" w:hAnsi="宋体"/>
          <w:sz w:val="18"/>
          <w:szCs w:val="18"/>
        </w:rPr>
        <w:t>损失</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3、法律风险的管控措施：温州银行将严格按照法律法规的要求履行自己的责任和义务。</w:t>
      </w:r>
      <w:r>
        <w:rPr>
          <w:rFonts w:ascii="宋体" w:hAnsi="宋体" w:hint="eastAsia"/>
          <w:sz w:val="18"/>
          <w:szCs w:val="18"/>
        </w:rPr>
        <w:t xml:space="preserve"> </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4、政策风险、</w:t>
      </w:r>
      <w:r w:rsidRPr="00664EB0">
        <w:rPr>
          <w:rFonts w:hint="eastAsia"/>
          <w:sz w:val="18"/>
          <w:szCs w:val="18"/>
        </w:rPr>
        <w:t>早偿风险、理财产品不成立风险和</w:t>
      </w:r>
      <w:r w:rsidRPr="00664EB0">
        <w:rPr>
          <w:rFonts w:ascii="宋体" w:hAnsi="宋体"/>
          <w:sz w:val="18"/>
          <w:szCs w:val="18"/>
        </w:rPr>
        <w:t>其他风险</w:t>
      </w:r>
      <w:r w:rsidRPr="00664EB0">
        <w:rPr>
          <w:rFonts w:ascii="宋体" w:hAnsi="宋体" w:hint="eastAsia"/>
          <w:sz w:val="18"/>
          <w:szCs w:val="18"/>
        </w:rPr>
        <w:t>的管控措施：温州银行</w:t>
      </w:r>
      <w:r w:rsidRPr="00664EB0">
        <w:rPr>
          <w:rFonts w:ascii="宋体" w:hAnsi="宋体"/>
          <w:sz w:val="18"/>
          <w:szCs w:val="18"/>
        </w:rPr>
        <w:t>将坚持</w:t>
      </w:r>
      <w:r w:rsidRPr="00664EB0">
        <w:rPr>
          <w:rFonts w:ascii="宋体" w:hAnsi="宋体" w:hint="eastAsia"/>
          <w:sz w:val="18"/>
          <w:szCs w:val="18"/>
        </w:rPr>
        <w:t>理财财产利益</w:t>
      </w:r>
      <w:r w:rsidRPr="00664EB0">
        <w:rPr>
          <w:rFonts w:ascii="宋体" w:hAnsi="宋体"/>
          <w:sz w:val="18"/>
          <w:szCs w:val="18"/>
        </w:rPr>
        <w:t>最大化的原则，严格履行自己应尽的义务，不断分析潜在的风险，努力防范和化解可能出现的风险，维护</w:t>
      </w:r>
      <w:r w:rsidRPr="00664EB0">
        <w:rPr>
          <w:rFonts w:ascii="宋体" w:hAnsi="宋体" w:hint="eastAsia"/>
          <w:sz w:val="18"/>
          <w:szCs w:val="18"/>
        </w:rPr>
        <w:t>理财财产的</w:t>
      </w:r>
      <w:r w:rsidRPr="00664EB0">
        <w:rPr>
          <w:rFonts w:ascii="宋体" w:hAnsi="宋体"/>
          <w:sz w:val="18"/>
          <w:szCs w:val="18"/>
        </w:rPr>
        <w:t>利益。</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信息公告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、温州银行将在本产品到期日后</w:t>
      </w:r>
      <w:r w:rsidRPr="00664EB0">
        <w:rPr>
          <w:sz w:val="18"/>
          <w:szCs w:val="18"/>
        </w:rPr>
        <w:t>3</w:t>
      </w:r>
      <w:r w:rsidRPr="00664EB0">
        <w:rPr>
          <w:rFonts w:hint="eastAsia"/>
          <w:sz w:val="18"/>
          <w:szCs w:val="18"/>
        </w:rPr>
        <w:t>个工作日内，在温州银行网站发布相关投资、收益信息公告。</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、温州银行如在特定情况下提前终止本产品，将于实际终止日提前至少</w:t>
      </w:r>
      <w:r w:rsidRPr="00664EB0">
        <w:rPr>
          <w:sz w:val="18"/>
          <w:szCs w:val="18"/>
        </w:rPr>
        <w:t>1</w:t>
      </w:r>
      <w:r w:rsidRPr="00664EB0">
        <w:rPr>
          <w:rFonts w:hint="eastAsia"/>
          <w:sz w:val="18"/>
          <w:szCs w:val="18"/>
        </w:rPr>
        <w:t>个工作日，在温州银行网站和相关网点发布相关信息公告。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、温州银行将在理财期内在温州银行网站</w:t>
      </w:r>
      <w:r>
        <w:rPr>
          <w:rFonts w:hint="eastAsia"/>
          <w:sz w:val="18"/>
          <w:szCs w:val="18"/>
        </w:rPr>
        <w:t>（</w:t>
      </w:r>
      <w:r>
        <w:rPr>
          <w:rFonts w:hint="eastAsia"/>
          <w:sz w:val="18"/>
          <w:szCs w:val="18"/>
        </w:rPr>
        <w:t>www.wzbank.cn</w:t>
      </w:r>
      <w:r>
        <w:rPr>
          <w:rFonts w:hint="eastAsia"/>
          <w:sz w:val="18"/>
          <w:szCs w:val="18"/>
        </w:rPr>
        <w:t>）</w:t>
      </w:r>
      <w:r w:rsidRPr="00664EB0">
        <w:rPr>
          <w:rFonts w:hint="eastAsia"/>
          <w:sz w:val="18"/>
          <w:szCs w:val="18"/>
        </w:rPr>
        <w:t>对本产品说明书予以公示。</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产品认购</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、认购手续：在产品认购期内，个人投资者请带本人身份证原件及复印件、温州银行借记</w:t>
      </w:r>
      <w:r w:rsidR="007E17EB">
        <w:rPr>
          <w:rFonts w:hint="eastAsia"/>
          <w:sz w:val="18"/>
          <w:szCs w:val="18"/>
        </w:rPr>
        <w:t>卡</w:t>
      </w:r>
      <w:r w:rsidRPr="00664EB0">
        <w:rPr>
          <w:rFonts w:hint="eastAsia"/>
          <w:sz w:val="18"/>
          <w:szCs w:val="18"/>
        </w:rPr>
        <w:t>等到银行营业网点办理</w:t>
      </w:r>
      <w:r>
        <w:rPr>
          <w:rFonts w:hint="eastAsia"/>
          <w:sz w:val="18"/>
          <w:szCs w:val="18"/>
        </w:rPr>
        <w:t>，或登录温州银行网银专业版办理</w:t>
      </w:r>
      <w:r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、资金划付：理财开始日，温州银行将按照投资者签署的理财计划合约中约定的认购金额从</w:t>
      </w:r>
      <w:r>
        <w:rPr>
          <w:rFonts w:hint="eastAsia"/>
          <w:sz w:val="18"/>
          <w:szCs w:val="18"/>
        </w:rPr>
        <w:t>投资者</w:t>
      </w:r>
      <w:r w:rsidRPr="00664EB0">
        <w:rPr>
          <w:rFonts w:hint="eastAsia"/>
          <w:sz w:val="18"/>
          <w:szCs w:val="18"/>
        </w:rPr>
        <w:t>资金账户中进行资金扣划，</w:t>
      </w:r>
      <w:r>
        <w:rPr>
          <w:rFonts w:hint="eastAsia"/>
          <w:sz w:val="18"/>
          <w:szCs w:val="18"/>
        </w:rPr>
        <w:t>扣划前不做电话确认，</w:t>
      </w:r>
      <w:r w:rsidRPr="00664EB0">
        <w:rPr>
          <w:rFonts w:hint="eastAsia"/>
          <w:sz w:val="18"/>
          <w:szCs w:val="18"/>
        </w:rPr>
        <w:t>无需客户另行授权。</w:t>
      </w:r>
      <w:r>
        <w:rPr>
          <w:rFonts w:hint="eastAsia"/>
          <w:sz w:val="18"/>
          <w:szCs w:val="18"/>
        </w:rPr>
        <w:t>请投资者确保您的资金账户状态正常，如因资金账户状态异常而无法在理财开始日实现资金扣划，相应认购将做失败处理。</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、认购撤单：认购期内不允许认购撤单。</w:t>
      </w:r>
    </w:p>
    <w:p w:rsidR="00ED046C"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、产品发行规模有限，售完即止。</w:t>
      </w:r>
    </w:p>
    <w:p w:rsidR="00ED046C" w:rsidRDefault="00ED046C" w:rsidP="00D67510">
      <w:pPr>
        <w:adjustRightInd w:val="0"/>
        <w:snapToGrid w:val="0"/>
        <w:spacing w:line="276" w:lineRule="auto"/>
        <w:rPr>
          <w:rFonts w:ascii="宋体" w:hAnsi="宋体"/>
          <w:szCs w:val="21"/>
        </w:rPr>
      </w:pPr>
    </w:p>
    <w:p w:rsidR="00826B69" w:rsidRPr="00ED046C" w:rsidRDefault="00A7035B" w:rsidP="00D67510">
      <w:pPr>
        <w:adjustRightInd w:val="0"/>
        <w:snapToGrid w:val="0"/>
        <w:spacing w:line="276" w:lineRule="auto"/>
        <w:rPr>
          <w:sz w:val="18"/>
          <w:szCs w:val="18"/>
        </w:rPr>
      </w:pPr>
      <w:r>
        <w:rPr>
          <w:rFonts w:ascii="宋体" w:hAnsi="宋体" w:hint="eastAsia"/>
          <w:szCs w:val="21"/>
        </w:rPr>
        <w:t>投资者签章：                                 日期：</w:t>
      </w:r>
    </w:p>
    <w:sectPr w:rsidR="00826B69" w:rsidRPr="00ED046C" w:rsidSect="009F4841">
      <w:footerReference w:type="default" r:id="rId7"/>
      <w:pgSz w:w="11906" w:h="16838"/>
      <w:pgMar w:top="1247" w:right="1361" w:bottom="124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1162" w:rsidRDefault="00D81162" w:rsidP="00A7035B">
      <w:r>
        <w:separator/>
      </w:r>
    </w:p>
  </w:endnote>
  <w:endnote w:type="continuationSeparator" w:id="1">
    <w:p w:rsidR="00D81162" w:rsidRDefault="00D81162" w:rsidP="00A7035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841" w:rsidRDefault="00826B69" w:rsidP="00ED046C">
    <w:pPr>
      <w:pStyle w:val="a4"/>
      <w:jc w:val="center"/>
    </w:pPr>
    <w:r>
      <w:rPr>
        <w:lang w:val="zh-CN"/>
      </w:rPr>
      <w:t xml:space="preserve"> </w:t>
    </w:r>
    <w:r w:rsidR="00573B14">
      <w:rPr>
        <w:b/>
        <w:sz w:val="24"/>
        <w:szCs w:val="24"/>
      </w:rPr>
      <w:fldChar w:fldCharType="begin"/>
    </w:r>
    <w:r>
      <w:rPr>
        <w:b/>
      </w:rPr>
      <w:instrText>PAGE</w:instrText>
    </w:r>
    <w:r w:rsidR="00573B14">
      <w:rPr>
        <w:b/>
        <w:sz w:val="24"/>
        <w:szCs w:val="24"/>
      </w:rPr>
      <w:fldChar w:fldCharType="separate"/>
    </w:r>
    <w:r w:rsidR="004359A0">
      <w:rPr>
        <w:b/>
        <w:noProof/>
      </w:rPr>
      <w:t>5</w:t>
    </w:r>
    <w:r w:rsidR="00573B14">
      <w:rPr>
        <w:b/>
        <w:sz w:val="24"/>
        <w:szCs w:val="24"/>
      </w:rPr>
      <w:fldChar w:fldCharType="end"/>
    </w:r>
    <w:r>
      <w:rPr>
        <w:lang w:val="zh-CN"/>
      </w:rPr>
      <w:t xml:space="preserve"> / </w:t>
    </w:r>
    <w:r w:rsidR="00573B14">
      <w:rPr>
        <w:b/>
        <w:sz w:val="24"/>
        <w:szCs w:val="24"/>
      </w:rPr>
      <w:fldChar w:fldCharType="begin"/>
    </w:r>
    <w:r>
      <w:rPr>
        <w:b/>
      </w:rPr>
      <w:instrText>NUMPAGES</w:instrText>
    </w:r>
    <w:r w:rsidR="00573B14">
      <w:rPr>
        <w:b/>
        <w:sz w:val="24"/>
        <w:szCs w:val="24"/>
      </w:rPr>
      <w:fldChar w:fldCharType="separate"/>
    </w:r>
    <w:r w:rsidR="004359A0">
      <w:rPr>
        <w:b/>
        <w:noProof/>
      </w:rPr>
      <w:t>5</w:t>
    </w:r>
    <w:r w:rsidR="00573B14">
      <w:rPr>
        <w:b/>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1162" w:rsidRDefault="00D81162" w:rsidP="00A7035B">
      <w:r>
        <w:separator/>
      </w:r>
    </w:p>
  </w:footnote>
  <w:footnote w:type="continuationSeparator" w:id="1">
    <w:p w:rsidR="00D81162" w:rsidRDefault="00D81162" w:rsidP="00A7035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ocumentProtection w:edit="readOnly" w:enforcement="1" w:cryptProviderType="rsaFull" w:cryptAlgorithmClass="hash" w:cryptAlgorithmType="typeAny" w:cryptAlgorithmSid="4" w:cryptSpinCount="50000" w:hash="6FJgGImqOSjc0Qg9kC1xTcXhwrs=" w:salt="gXZpqQlN5lstklpzr+YeSA=="/>
  <w:defaultTabStop w:val="420"/>
  <w:drawingGridVerticalSpacing w:val="156"/>
  <w:displayHorizontalDrawingGridEvery w:val="0"/>
  <w:displayVerticalDrawingGridEvery w:val="2"/>
  <w:characterSpacingControl w:val="compressPunctuation"/>
  <w:hdrShapeDefaults>
    <o:shapedefaults v:ext="edit" spidmax="1843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7035B"/>
    <w:rsid w:val="00000095"/>
    <w:rsid w:val="00003DBB"/>
    <w:rsid w:val="000057BF"/>
    <w:rsid w:val="00007CFB"/>
    <w:rsid w:val="000127CA"/>
    <w:rsid w:val="00021F24"/>
    <w:rsid w:val="000234FC"/>
    <w:rsid w:val="000242CD"/>
    <w:rsid w:val="00024300"/>
    <w:rsid w:val="00025A4A"/>
    <w:rsid w:val="00025C46"/>
    <w:rsid w:val="0002614D"/>
    <w:rsid w:val="0003228F"/>
    <w:rsid w:val="00032575"/>
    <w:rsid w:val="00032CD3"/>
    <w:rsid w:val="00033E32"/>
    <w:rsid w:val="000340C6"/>
    <w:rsid w:val="00036404"/>
    <w:rsid w:val="00037CB4"/>
    <w:rsid w:val="00041662"/>
    <w:rsid w:val="00042917"/>
    <w:rsid w:val="00044960"/>
    <w:rsid w:val="0005317E"/>
    <w:rsid w:val="0005385C"/>
    <w:rsid w:val="00053FB7"/>
    <w:rsid w:val="00056129"/>
    <w:rsid w:val="000575D4"/>
    <w:rsid w:val="00062E85"/>
    <w:rsid w:val="00063AF9"/>
    <w:rsid w:val="00063E21"/>
    <w:rsid w:val="0006485D"/>
    <w:rsid w:val="00065A5B"/>
    <w:rsid w:val="000715FE"/>
    <w:rsid w:val="00075A19"/>
    <w:rsid w:val="00077330"/>
    <w:rsid w:val="00082699"/>
    <w:rsid w:val="00082C1E"/>
    <w:rsid w:val="00083219"/>
    <w:rsid w:val="00083E92"/>
    <w:rsid w:val="00083EBB"/>
    <w:rsid w:val="000850FA"/>
    <w:rsid w:val="000863C8"/>
    <w:rsid w:val="00090C53"/>
    <w:rsid w:val="000946BE"/>
    <w:rsid w:val="00094B32"/>
    <w:rsid w:val="00095172"/>
    <w:rsid w:val="000A0655"/>
    <w:rsid w:val="000A1989"/>
    <w:rsid w:val="000A3531"/>
    <w:rsid w:val="000A7313"/>
    <w:rsid w:val="000B11B7"/>
    <w:rsid w:val="000B361B"/>
    <w:rsid w:val="000C059A"/>
    <w:rsid w:val="000C2C6F"/>
    <w:rsid w:val="000C30E4"/>
    <w:rsid w:val="000C6D96"/>
    <w:rsid w:val="000C747C"/>
    <w:rsid w:val="000D1986"/>
    <w:rsid w:val="000D2837"/>
    <w:rsid w:val="000D487F"/>
    <w:rsid w:val="000D7EB3"/>
    <w:rsid w:val="000E1A65"/>
    <w:rsid w:val="000E2112"/>
    <w:rsid w:val="000E2421"/>
    <w:rsid w:val="000E3BEB"/>
    <w:rsid w:val="000E550A"/>
    <w:rsid w:val="000E5C51"/>
    <w:rsid w:val="000F0B9E"/>
    <w:rsid w:val="000F301A"/>
    <w:rsid w:val="00100EB8"/>
    <w:rsid w:val="00101FEA"/>
    <w:rsid w:val="0010459E"/>
    <w:rsid w:val="0010543A"/>
    <w:rsid w:val="00106825"/>
    <w:rsid w:val="001068C7"/>
    <w:rsid w:val="001111E8"/>
    <w:rsid w:val="00115F4F"/>
    <w:rsid w:val="00116F18"/>
    <w:rsid w:val="00123471"/>
    <w:rsid w:val="00124E16"/>
    <w:rsid w:val="001302B3"/>
    <w:rsid w:val="00131328"/>
    <w:rsid w:val="001330FC"/>
    <w:rsid w:val="001343FC"/>
    <w:rsid w:val="001362F6"/>
    <w:rsid w:val="00136C31"/>
    <w:rsid w:val="001410E6"/>
    <w:rsid w:val="001414B2"/>
    <w:rsid w:val="00143609"/>
    <w:rsid w:val="00145E78"/>
    <w:rsid w:val="00151BEA"/>
    <w:rsid w:val="00153634"/>
    <w:rsid w:val="001544AA"/>
    <w:rsid w:val="001547B0"/>
    <w:rsid w:val="00164680"/>
    <w:rsid w:val="001648F8"/>
    <w:rsid w:val="00164CDF"/>
    <w:rsid w:val="00164FD6"/>
    <w:rsid w:val="00170535"/>
    <w:rsid w:val="00171FAA"/>
    <w:rsid w:val="0017307C"/>
    <w:rsid w:val="00173886"/>
    <w:rsid w:val="001802CC"/>
    <w:rsid w:val="00183E11"/>
    <w:rsid w:val="00190774"/>
    <w:rsid w:val="001949FB"/>
    <w:rsid w:val="00195B7B"/>
    <w:rsid w:val="0019784B"/>
    <w:rsid w:val="001A22BC"/>
    <w:rsid w:val="001A26E0"/>
    <w:rsid w:val="001A38A4"/>
    <w:rsid w:val="001A45EC"/>
    <w:rsid w:val="001A68AA"/>
    <w:rsid w:val="001A69BA"/>
    <w:rsid w:val="001B07A5"/>
    <w:rsid w:val="001B1087"/>
    <w:rsid w:val="001B12E2"/>
    <w:rsid w:val="001B720C"/>
    <w:rsid w:val="001C01AB"/>
    <w:rsid w:val="001C0BEC"/>
    <w:rsid w:val="001C28AB"/>
    <w:rsid w:val="001C3186"/>
    <w:rsid w:val="001C3F73"/>
    <w:rsid w:val="001C3FC1"/>
    <w:rsid w:val="001C4F3F"/>
    <w:rsid w:val="001C5FEA"/>
    <w:rsid w:val="001C7B90"/>
    <w:rsid w:val="001D1873"/>
    <w:rsid w:val="001D27E0"/>
    <w:rsid w:val="001D2B68"/>
    <w:rsid w:val="001D68E2"/>
    <w:rsid w:val="001D75F7"/>
    <w:rsid w:val="001E26E9"/>
    <w:rsid w:val="001E33D1"/>
    <w:rsid w:val="001E3951"/>
    <w:rsid w:val="001E4C55"/>
    <w:rsid w:val="001E4CEF"/>
    <w:rsid w:val="001F1FBB"/>
    <w:rsid w:val="001F21D9"/>
    <w:rsid w:val="001F4B00"/>
    <w:rsid w:val="001F69F5"/>
    <w:rsid w:val="001F6A4C"/>
    <w:rsid w:val="001F7409"/>
    <w:rsid w:val="00202ADE"/>
    <w:rsid w:val="002044F4"/>
    <w:rsid w:val="002048AF"/>
    <w:rsid w:val="0020567A"/>
    <w:rsid w:val="00205980"/>
    <w:rsid w:val="00210216"/>
    <w:rsid w:val="00210CA3"/>
    <w:rsid w:val="00213219"/>
    <w:rsid w:val="0021614A"/>
    <w:rsid w:val="00221060"/>
    <w:rsid w:val="00221C9E"/>
    <w:rsid w:val="00222758"/>
    <w:rsid w:val="002239B9"/>
    <w:rsid w:val="00224AD0"/>
    <w:rsid w:val="00224D5D"/>
    <w:rsid w:val="00227A62"/>
    <w:rsid w:val="002372B2"/>
    <w:rsid w:val="00241399"/>
    <w:rsid w:val="00242303"/>
    <w:rsid w:val="00246703"/>
    <w:rsid w:val="002502C1"/>
    <w:rsid w:val="0025253B"/>
    <w:rsid w:val="00254C1F"/>
    <w:rsid w:val="00254F80"/>
    <w:rsid w:val="002567DF"/>
    <w:rsid w:val="00256C4B"/>
    <w:rsid w:val="00256FD7"/>
    <w:rsid w:val="00262842"/>
    <w:rsid w:val="002634E2"/>
    <w:rsid w:val="002669F2"/>
    <w:rsid w:val="002731BC"/>
    <w:rsid w:val="00273267"/>
    <w:rsid w:val="00274D35"/>
    <w:rsid w:val="00275FF0"/>
    <w:rsid w:val="00277265"/>
    <w:rsid w:val="00280CD0"/>
    <w:rsid w:val="002821A6"/>
    <w:rsid w:val="002821C0"/>
    <w:rsid w:val="00283098"/>
    <w:rsid w:val="00285806"/>
    <w:rsid w:val="002863FC"/>
    <w:rsid w:val="00286E42"/>
    <w:rsid w:val="00292DC2"/>
    <w:rsid w:val="002935A9"/>
    <w:rsid w:val="0029644C"/>
    <w:rsid w:val="00296B1E"/>
    <w:rsid w:val="00297013"/>
    <w:rsid w:val="002A4C90"/>
    <w:rsid w:val="002A6B6A"/>
    <w:rsid w:val="002A72B2"/>
    <w:rsid w:val="002A7E39"/>
    <w:rsid w:val="002B07AE"/>
    <w:rsid w:val="002B0F7E"/>
    <w:rsid w:val="002B1174"/>
    <w:rsid w:val="002B44E3"/>
    <w:rsid w:val="002C1330"/>
    <w:rsid w:val="002D071A"/>
    <w:rsid w:val="002D179C"/>
    <w:rsid w:val="002D4F71"/>
    <w:rsid w:val="002E2356"/>
    <w:rsid w:val="002E4912"/>
    <w:rsid w:val="002E4C38"/>
    <w:rsid w:val="002E6F1D"/>
    <w:rsid w:val="002E70AD"/>
    <w:rsid w:val="002E7BDD"/>
    <w:rsid w:val="002E7CBC"/>
    <w:rsid w:val="002F05E5"/>
    <w:rsid w:val="002F0985"/>
    <w:rsid w:val="002F39B0"/>
    <w:rsid w:val="002F6624"/>
    <w:rsid w:val="002F66AB"/>
    <w:rsid w:val="002F7FF6"/>
    <w:rsid w:val="00301580"/>
    <w:rsid w:val="00302D5C"/>
    <w:rsid w:val="0030311C"/>
    <w:rsid w:val="003040DA"/>
    <w:rsid w:val="003044B5"/>
    <w:rsid w:val="00304A30"/>
    <w:rsid w:val="00304E55"/>
    <w:rsid w:val="00305D05"/>
    <w:rsid w:val="00305E0C"/>
    <w:rsid w:val="00307130"/>
    <w:rsid w:val="0031032F"/>
    <w:rsid w:val="00310BB4"/>
    <w:rsid w:val="00311337"/>
    <w:rsid w:val="003117F9"/>
    <w:rsid w:val="00313FC1"/>
    <w:rsid w:val="003144CD"/>
    <w:rsid w:val="0031478F"/>
    <w:rsid w:val="00315DA6"/>
    <w:rsid w:val="00316C51"/>
    <w:rsid w:val="00317438"/>
    <w:rsid w:val="00323182"/>
    <w:rsid w:val="00334F3D"/>
    <w:rsid w:val="003375CD"/>
    <w:rsid w:val="003406A9"/>
    <w:rsid w:val="00341295"/>
    <w:rsid w:val="0035409F"/>
    <w:rsid w:val="00354DA6"/>
    <w:rsid w:val="00355FA6"/>
    <w:rsid w:val="0036162F"/>
    <w:rsid w:val="0036288A"/>
    <w:rsid w:val="00370205"/>
    <w:rsid w:val="00372D32"/>
    <w:rsid w:val="00374985"/>
    <w:rsid w:val="003807F4"/>
    <w:rsid w:val="00385631"/>
    <w:rsid w:val="0038631C"/>
    <w:rsid w:val="003871C3"/>
    <w:rsid w:val="00387BF5"/>
    <w:rsid w:val="00387C3A"/>
    <w:rsid w:val="00391439"/>
    <w:rsid w:val="00396B46"/>
    <w:rsid w:val="00396D62"/>
    <w:rsid w:val="003A243E"/>
    <w:rsid w:val="003A2991"/>
    <w:rsid w:val="003A7EBD"/>
    <w:rsid w:val="003B0720"/>
    <w:rsid w:val="003B222A"/>
    <w:rsid w:val="003B4DB2"/>
    <w:rsid w:val="003B7871"/>
    <w:rsid w:val="003C6EEA"/>
    <w:rsid w:val="003C73CD"/>
    <w:rsid w:val="003C770C"/>
    <w:rsid w:val="003C7C22"/>
    <w:rsid w:val="003D34FC"/>
    <w:rsid w:val="003D43DC"/>
    <w:rsid w:val="003D6858"/>
    <w:rsid w:val="003E15D6"/>
    <w:rsid w:val="0040291B"/>
    <w:rsid w:val="0040547C"/>
    <w:rsid w:val="004067F3"/>
    <w:rsid w:val="00407637"/>
    <w:rsid w:val="00407D82"/>
    <w:rsid w:val="00407E31"/>
    <w:rsid w:val="00411293"/>
    <w:rsid w:val="0041151D"/>
    <w:rsid w:val="00412B1D"/>
    <w:rsid w:val="00413CFF"/>
    <w:rsid w:val="00415537"/>
    <w:rsid w:val="00415632"/>
    <w:rsid w:val="0041582C"/>
    <w:rsid w:val="00420BCE"/>
    <w:rsid w:val="0042387E"/>
    <w:rsid w:val="00424B0D"/>
    <w:rsid w:val="00424D6F"/>
    <w:rsid w:val="0043213B"/>
    <w:rsid w:val="00432A93"/>
    <w:rsid w:val="00434436"/>
    <w:rsid w:val="004359A0"/>
    <w:rsid w:val="00435E98"/>
    <w:rsid w:val="00437B03"/>
    <w:rsid w:val="00437D0C"/>
    <w:rsid w:val="00441CD5"/>
    <w:rsid w:val="0044256E"/>
    <w:rsid w:val="00442A4E"/>
    <w:rsid w:val="00443D46"/>
    <w:rsid w:val="00445D22"/>
    <w:rsid w:val="0045016E"/>
    <w:rsid w:val="00452158"/>
    <w:rsid w:val="0045305F"/>
    <w:rsid w:val="00453118"/>
    <w:rsid w:val="004538A4"/>
    <w:rsid w:val="00453AED"/>
    <w:rsid w:val="00454614"/>
    <w:rsid w:val="00455794"/>
    <w:rsid w:val="00455E2D"/>
    <w:rsid w:val="0046701A"/>
    <w:rsid w:val="00467108"/>
    <w:rsid w:val="00474112"/>
    <w:rsid w:val="004752AD"/>
    <w:rsid w:val="00476916"/>
    <w:rsid w:val="00481B1B"/>
    <w:rsid w:val="00482A51"/>
    <w:rsid w:val="004856DA"/>
    <w:rsid w:val="0048644D"/>
    <w:rsid w:val="00487E04"/>
    <w:rsid w:val="004929EC"/>
    <w:rsid w:val="00493122"/>
    <w:rsid w:val="004A0BEA"/>
    <w:rsid w:val="004A1DF0"/>
    <w:rsid w:val="004A6841"/>
    <w:rsid w:val="004A79CF"/>
    <w:rsid w:val="004B0644"/>
    <w:rsid w:val="004B1638"/>
    <w:rsid w:val="004B2BED"/>
    <w:rsid w:val="004B36E7"/>
    <w:rsid w:val="004C0652"/>
    <w:rsid w:val="004C07EA"/>
    <w:rsid w:val="004C122D"/>
    <w:rsid w:val="004C318F"/>
    <w:rsid w:val="004C45AA"/>
    <w:rsid w:val="004C5D67"/>
    <w:rsid w:val="004C6973"/>
    <w:rsid w:val="004D01A7"/>
    <w:rsid w:val="004D1772"/>
    <w:rsid w:val="004D3465"/>
    <w:rsid w:val="004D6CF2"/>
    <w:rsid w:val="004E1967"/>
    <w:rsid w:val="004E20EA"/>
    <w:rsid w:val="004E61E9"/>
    <w:rsid w:val="004F0ED2"/>
    <w:rsid w:val="004F3B4B"/>
    <w:rsid w:val="004F3B83"/>
    <w:rsid w:val="004F4AAE"/>
    <w:rsid w:val="00500D6A"/>
    <w:rsid w:val="00506249"/>
    <w:rsid w:val="00506FD1"/>
    <w:rsid w:val="0051004A"/>
    <w:rsid w:val="0051275B"/>
    <w:rsid w:val="00520017"/>
    <w:rsid w:val="005219D2"/>
    <w:rsid w:val="00522891"/>
    <w:rsid w:val="00522FF7"/>
    <w:rsid w:val="00523290"/>
    <w:rsid w:val="00524988"/>
    <w:rsid w:val="00525F9F"/>
    <w:rsid w:val="00526EEB"/>
    <w:rsid w:val="00530E89"/>
    <w:rsid w:val="00532C21"/>
    <w:rsid w:val="00535BA8"/>
    <w:rsid w:val="00535D46"/>
    <w:rsid w:val="005371B9"/>
    <w:rsid w:val="00540509"/>
    <w:rsid w:val="00541E39"/>
    <w:rsid w:val="00544900"/>
    <w:rsid w:val="0054578C"/>
    <w:rsid w:val="00545A1E"/>
    <w:rsid w:val="005511D5"/>
    <w:rsid w:val="0055671B"/>
    <w:rsid w:val="00557532"/>
    <w:rsid w:val="00560925"/>
    <w:rsid w:val="00560A63"/>
    <w:rsid w:val="00560B37"/>
    <w:rsid w:val="005615C9"/>
    <w:rsid w:val="00561D56"/>
    <w:rsid w:val="00561EBC"/>
    <w:rsid w:val="005623A7"/>
    <w:rsid w:val="0056332F"/>
    <w:rsid w:val="0056461D"/>
    <w:rsid w:val="005654F4"/>
    <w:rsid w:val="00565AC2"/>
    <w:rsid w:val="00573B14"/>
    <w:rsid w:val="00574978"/>
    <w:rsid w:val="005756E2"/>
    <w:rsid w:val="005770E3"/>
    <w:rsid w:val="00581E04"/>
    <w:rsid w:val="00582D66"/>
    <w:rsid w:val="00585D28"/>
    <w:rsid w:val="005868DA"/>
    <w:rsid w:val="00587BF2"/>
    <w:rsid w:val="00590F57"/>
    <w:rsid w:val="005949FA"/>
    <w:rsid w:val="00595089"/>
    <w:rsid w:val="005A2B97"/>
    <w:rsid w:val="005A3273"/>
    <w:rsid w:val="005A359B"/>
    <w:rsid w:val="005A48D7"/>
    <w:rsid w:val="005A6723"/>
    <w:rsid w:val="005B06EE"/>
    <w:rsid w:val="005B5BB0"/>
    <w:rsid w:val="005B78BB"/>
    <w:rsid w:val="005B7BEE"/>
    <w:rsid w:val="005C01F5"/>
    <w:rsid w:val="005C1391"/>
    <w:rsid w:val="005C31BA"/>
    <w:rsid w:val="005C50E9"/>
    <w:rsid w:val="005C7226"/>
    <w:rsid w:val="005D057A"/>
    <w:rsid w:val="005D1DC1"/>
    <w:rsid w:val="005D60B1"/>
    <w:rsid w:val="005D6632"/>
    <w:rsid w:val="005D70DA"/>
    <w:rsid w:val="005E0948"/>
    <w:rsid w:val="005E4186"/>
    <w:rsid w:val="005E6088"/>
    <w:rsid w:val="005E79BB"/>
    <w:rsid w:val="005F0B56"/>
    <w:rsid w:val="005F2556"/>
    <w:rsid w:val="005F2593"/>
    <w:rsid w:val="005F3C80"/>
    <w:rsid w:val="005F46CB"/>
    <w:rsid w:val="005F5832"/>
    <w:rsid w:val="005F61D1"/>
    <w:rsid w:val="005F67D1"/>
    <w:rsid w:val="005F7131"/>
    <w:rsid w:val="006020C1"/>
    <w:rsid w:val="0060350E"/>
    <w:rsid w:val="006041FE"/>
    <w:rsid w:val="00604CC3"/>
    <w:rsid w:val="006057FF"/>
    <w:rsid w:val="00615208"/>
    <w:rsid w:val="0062059F"/>
    <w:rsid w:val="006216E0"/>
    <w:rsid w:val="0062241C"/>
    <w:rsid w:val="006227B0"/>
    <w:rsid w:val="00624FED"/>
    <w:rsid w:val="006308DB"/>
    <w:rsid w:val="0063222D"/>
    <w:rsid w:val="00632958"/>
    <w:rsid w:val="00633034"/>
    <w:rsid w:val="0063404B"/>
    <w:rsid w:val="006367C1"/>
    <w:rsid w:val="0063744E"/>
    <w:rsid w:val="006417A9"/>
    <w:rsid w:val="00641B4C"/>
    <w:rsid w:val="00642BA9"/>
    <w:rsid w:val="00646F5F"/>
    <w:rsid w:val="00647290"/>
    <w:rsid w:val="00647EED"/>
    <w:rsid w:val="0065132C"/>
    <w:rsid w:val="006535B7"/>
    <w:rsid w:val="0065544D"/>
    <w:rsid w:val="006578E9"/>
    <w:rsid w:val="00657F8A"/>
    <w:rsid w:val="006600F9"/>
    <w:rsid w:val="00663B62"/>
    <w:rsid w:val="0066429F"/>
    <w:rsid w:val="00667363"/>
    <w:rsid w:val="00667968"/>
    <w:rsid w:val="00670181"/>
    <w:rsid w:val="00671151"/>
    <w:rsid w:val="00671EAA"/>
    <w:rsid w:val="00673CC9"/>
    <w:rsid w:val="00674B82"/>
    <w:rsid w:val="00675150"/>
    <w:rsid w:val="00676121"/>
    <w:rsid w:val="00677487"/>
    <w:rsid w:val="00677EAC"/>
    <w:rsid w:val="00684327"/>
    <w:rsid w:val="00684373"/>
    <w:rsid w:val="0068651A"/>
    <w:rsid w:val="006905E9"/>
    <w:rsid w:val="00691BD7"/>
    <w:rsid w:val="00693340"/>
    <w:rsid w:val="00693EA8"/>
    <w:rsid w:val="00694227"/>
    <w:rsid w:val="006A0A19"/>
    <w:rsid w:val="006A1713"/>
    <w:rsid w:val="006A4084"/>
    <w:rsid w:val="006A531F"/>
    <w:rsid w:val="006A7189"/>
    <w:rsid w:val="006B1D35"/>
    <w:rsid w:val="006B337E"/>
    <w:rsid w:val="006B63A4"/>
    <w:rsid w:val="006B7F5C"/>
    <w:rsid w:val="006C4DEE"/>
    <w:rsid w:val="006C5A41"/>
    <w:rsid w:val="006C6683"/>
    <w:rsid w:val="006C69EC"/>
    <w:rsid w:val="006D293B"/>
    <w:rsid w:val="006D3D5C"/>
    <w:rsid w:val="006D443A"/>
    <w:rsid w:val="006D5738"/>
    <w:rsid w:val="006D6074"/>
    <w:rsid w:val="006D76FD"/>
    <w:rsid w:val="006E00BD"/>
    <w:rsid w:val="006E0B2C"/>
    <w:rsid w:val="006E2E78"/>
    <w:rsid w:val="006E762F"/>
    <w:rsid w:val="006F01D1"/>
    <w:rsid w:val="006F1293"/>
    <w:rsid w:val="006F1C79"/>
    <w:rsid w:val="006F2A43"/>
    <w:rsid w:val="006F2DA8"/>
    <w:rsid w:val="006F46AA"/>
    <w:rsid w:val="006F4BC8"/>
    <w:rsid w:val="006F5540"/>
    <w:rsid w:val="006F6BAD"/>
    <w:rsid w:val="007024B1"/>
    <w:rsid w:val="00703E7B"/>
    <w:rsid w:val="00710D87"/>
    <w:rsid w:val="00714DD9"/>
    <w:rsid w:val="00722439"/>
    <w:rsid w:val="00724E91"/>
    <w:rsid w:val="0073029E"/>
    <w:rsid w:val="0073035F"/>
    <w:rsid w:val="00731B5B"/>
    <w:rsid w:val="00732806"/>
    <w:rsid w:val="00732D9D"/>
    <w:rsid w:val="007346CD"/>
    <w:rsid w:val="0073508A"/>
    <w:rsid w:val="00737C5D"/>
    <w:rsid w:val="00746105"/>
    <w:rsid w:val="00746305"/>
    <w:rsid w:val="00751121"/>
    <w:rsid w:val="0075157B"/>
    <w:rsid w:val="007531CA"/>
    <w:rsid w:val="00753746"/>
    <w:rsid w:val="00754853"/>
    <w:rsid w:val="00756AA9"/>
    <w:rsid w:val="00760811"/>
    <w:rsid w:val="0076103A"/>
    <w:rsid w:val="007616C6"/>
    <w:rsid w:val="00763144"/>
    <w:rsid w:val="00763C0E"/>
    <w:rsid w:val="007659EF"/>
    <w:rsid w:val="00777501"/>
    <w:rsid w:val="00777930"/>
    <w:rsid w:val="0078196B"/>
    <w:rsid w:val="00782655"/>
    <w:rsid w:val="00783007"/>
    <w:rsid w:val="0078511A"/>
    <w:rsid w:val="00785A4C"/>
    <w:rsid w:val="00785C5D"/>
    <w:rsid w:val="00787BAC"/>
    <w:rsid w:val="00791483"/>
    <w:rsid w:val="007945CF"/>
    <w:rsid w:val="00794E9B"/>
    <w:rsid w:val="00795AB7"/>
    <w:rsid w:val="00796C42"/>
    <w:rsid w:val="007A1004"/>
    <w:rsid w:val="007A20AB"/>
    <w:rsid w:val="007A4674"/>
    <w:rsid w:val="007A48D6"/>
    <w:rsid w:val="007A5A30"/>
    <w:rsid w:val="007B1CF4"/>
    <w:rsid w:val="007B200A"/>
    <w:rsid w:val="007B46FE"/>
    <w:rsid w:val="007B53FE"/>
    <w:rsid w:val="007B781E"/>
    <w:rsid w:val="007C0E7C"/>
    <w:rsid w:val="007C121C"/>
    <w:rsid w:val="007C15C6"/>
    <w:rsid w:val="007C1862"/>
    <w:rsid w:val="007C1CA5"/>
    <w:rsid w:val="007C2011"/>
    <w:rsid w:val="007C50DB"/>
    <w:rsid w:val="007C630B"/>
    <w:rsid w:val="007C6D1C"/>
    <w:rsid w:val="007C7265"/>
    <w:rsid w:val="007C7C87"/>
    <w:rsid w:val="007C7F83"/>
    <w:rsid w:val="007D2514"/>
    <w:rsid w:val="007D2814"/>
    <w:rsid w:val="007D28C9"/>
    <w:rsid w:val="007D51FA"/>
    <w:rsid w:val="007E100F"/>
    <w:rsid w:val="007E17EB"/>
    <w:rsid w:val="007E2AEB"/>
    <w:rsid w:val="007E5DB7"/>
    <w:rsid w:val="007E5E6B"/>
    <w:rsid w:val="007E5F81"/>
    <w:rsid w:val="007E6288"/>
    <w:rsid w:val="007F10B2"/>
    <w:rsid w:val="007F3CFA"/>
    <w:rsid w:val="007F3E52"/>
    <w:rsid w:val="007F4437"/>
    <w:rsid w:val="00804792"/>
    <w:rsid w:val="00807273"/>
    <w:rsid w:val="008117DD"/>
    <w:rsid w:val="00814B7F"/>
    <w:rsid w:val="00817A80"/>
    <w:rsid w:val="00821120"/>
    <w:rsid w:val="00826B69"/>
    <w:rsid w:val="00827897"/>
    <w:rsid w:val="00830B02"/>
    <w:rsid w:val="008338E8"/>
    <w:rsid w:val="00843181"/>
    <w:rsid w:val="00845D26"/>
    <w:rsid w:val="008539CA"/>
    <w:rsid w:val="00853F7C"/>
    <w:rsid w:val="0085502F"/>
    <w:rsid w:val="0085558A"/>
    <w:rsid w:val="00855BFA"/>
    <w:rsid w:val="00857FFE"/>
    <w:rsid w:val="008612CF"/>
    <w:rsid w:val="0086319E"/>
    <w:rsid w:val="00865A6C"/>
    <w:rsid w:val="00867AA8"/>
    <w:rsid w:val="00872169"/>
    <w:rsid w:val="00872516"/>
    <w:rsid w:val="0087265B"/>
    <w:rsid w:val="00872A1A"/>
    <w:rsid w:val="00873843"/>
    <w:rsid w:val="00875FE1"/>
    <w:rsid w:val="0088063C"/>
    <w:rsid w:val="00882162"/>
    <w:rsid w:val="008837C8"/>
    <w:rsid w:val="0088397E"/>
    <w:rsid w:val="00887524"/>
    <w:rsid w:val="0089352E"/>
    <w:rsid w:val="00897034"/>
    <w:rsid w:val="00897542"/>
    <w:rsid w:val="008A0449"/>
    <w:rsid w:val="008A1F72"/>
    <w:rsid w:val="008A419A"/>
    <w:rsid w:val="008A4AC0"/>
    <w:rsid w:val="008A4B10"/>
    <w:rsid w:val="008A56C7"/>
    <w:rsid w:val="008A647D"/>
    <w:rsid w:val="008B53C2"/>
    <w:rsid w:val="008B7B07"/>
    <w:rsid w:val="008C2E3B"/>
    <w:rsid w:val="008C4945"/>
    <w:rsid w:val="008D13A0"/>
    <w:rsid w:val="008D2B44"/>
    <w:rsid w:val="008D330C"/>
    <w:rsid w:val="008D69DC"/>
    <w:rsid w:val="008E014D"/>
    <w:rsid w:val="008E3DF1"/>
    <w:rsid w:val="008E4AA0"/>
    <w:rsid w:val="008E642F"/>
    <w:rsid w:val="008E7BEF"/>
    <w:rsid w:val="008F061D"/>
    <w:rsid w:val="008F1595"/>
    <w:rsid w:val="008F32A2"/>
    <w:rsid w:val="008F7FF2"/>
    <w:rsid w:val="00907848"/>
    <w:rsid w:val="00910E40"/>
    <w:rsid w:val="00920627"/>
    <w:rsid w:val="009234F6"/>
    <w:rsid w:val="00926BA0"/>
    <w:rsid w:val="00931664"/>
    <w:rsid w:val="00940573"/>
    <w:rsid w:val="00947070"/>
    <w:rsid w:val="0095079F"/>
    <w:rsid w:val="00952DED"/>
    <w:rsid w:val="0095361E"/>
    <w:rsid w:val="009558F3"/>
    <w:rsid w:val="0096579A"/>
    <w:rsid w:val="009700AB"/>
    <w:rsid w:val="00970457"/>
    <w:rsid w:val="0097143B"/>
    <w:rsid w:val="00971EB5"/>
    <w:rsid w:val="00974BAB"/>
    <w:rsid w:val="00975563"/>
    <w:rsid w:val="00975A0B"/>
    <w:rsid w:val="00976DDF"/>
    <w:rsid w:val="00977801"/>
    <w:rsid w:val="00980A68"/>
    <w:rsid w:val="00980F7B"/>
    <w:rsid w:val="009819CD"/>
    <w:rsid w:val="0098248F"/>
    <w:rsid w:val="00985D3C"/>
    <w:rsid w:val="00986C39"/>
    <w:rsid w:val="009927FA"/>
    <w:rsid w:val="00992E84"/>
    <w:rsid w:val="00995024"/>
    <w:rsid w:val="009950C5"/>
    <w:rsid w:val="009953F9"/>
    <w:rsid w:val="00997091"/>
    <w:rsid w:val="0099754C"/>
    <w:rsid w:val="009975C1"/>
    <w:rsid w:val="00997E06"/>
    <w:rsid w:val="009A06FD"/>
    <w:rsid w:val="009A1850"/>
    <w:rsid w:val="009A347E"/>
    <w:rsid w:val="009B0DD2"/>
    <w:rsid w:val="009B3612"/>
    <w:rsid w:val="009B5401"/>
    <w:rsid w:val="009C2305"/>
    <w:rsid w:val="009C28F0"/>
    <w:rsid w:val="009C6A38"/>
    <w:rsid w:val="009C71CE"/>
    <w:rsid w:val="009D1D69"/>
    <w:rsid w:val="009D2F2C"/>
    <w:rsid w:val="009D71F7"/>
    <w:rsid w:val="009E20DD"/>
    <w:rsid w:val="009E21FC"/>
    <w:rsid w:val="009E2E58"/>
    <w:rsid w:val="009E4531"/>
    <w:rsid w:val="009E5063"/>
    <w:rsid w:val="009E6854"/>
    <w:rsid w:val="009F4841"/>
    <w:rsid w:val="009F5F26"/>
    <w:rsid w:val="009F637A"/>
    <w:rsid w:val="00A0434C"/>
    <w:rsid w:val="00A10604"/>
    <w:rsid w:val="00A1155A"/>
    <w:rsid w:val="00A11CED"/>
    <w:rsid w:val="00A1279E"/>
    <w:rsid w:val="00A145B0"/>
    <w:rsid w:val="00A15498"/>
    <w:rsid w:val="00A1555B"/>
    <w:rsid w:val="00A25E7D"/>
    <w:rsid w:val="00A266E3"/>
    <w:rsid w:val="00A30492"/>
    <w:rsid w:val="00A3336F"/>
    <w:rsid w:val="00A33801"/>
    <w:rsid w:val="00A3436E"/>
    <w:rsid w:val="00A3473E"/>
    <w:rsid w:val="00A410BA"/>
    <w:rsid w:val="00A41F99"/>
    <w:rsid w:val="00A43577"/>
    <w:rsid w:val="00A458FF"/>
    <w:rsid w:val="00A46348"/>
    <w:rsid w:val="00A556D9"/>
    <w:rsid w:val="00A55D1C"/>
    <w:rsid w:val="00A60C9A"/>
    <w:rsid w:val="00A6261F"/>
    <w:rsid w:val="00A62E2E"/>
    <w:rsid w:val="00A67485"/>
    <w:rsid w:val="00A7035B"/>
    <w:rsid w:val="00A73E89"/>
    <w:rsid w:val="00A74A70"/>
    <w:rsid w:val="00A764A4"/>
    <w:rsid w:val="00A76EFF"/>
    <w:rsid w:val="00A80BAF"/>
    <w:rsid w:val="00A832E8"/>
    <w:rsid w:val="00A83506"/>
    <w:rsid w:val="00A83A76"/>
    <w:rsid w:val="00A841F6"/>
    <w:rsid w:val="00A85402"/>
    <w:rsid w:val="00A87EC0"/>
    <w:rsid w:val="00A90E3F"/>
    <w:rsid w:val="00A92581"/>
    <w:rsid w:val="00A92E92"/>
    <w:rsid w:val="00A937D7"/>
    <w:rsid w:val="00AA0BC9"/>
    <w:rsid w:val="00AA3424"/>
    <w:rsid w:val="00AA3810"/>
    <w:rsid w:val="00AA4902"/>
    <w:rsid w:val="00AA6C8F"/>
    <w:rsid w:val="00AA79B4"/>
    <w:rsid w:val="00AB0D4A"/>
    <w:rsid w:val="00AB72BC"/>
    <w:rsid w:val="00AB7C8C"/>
    <w:rsid w:val="00AC52BE"/>
    <w:rsid w:val="00AD2FA2"/>
    <w:rsid w:val="00AD34D7"/>
    <w:rsid w:val="00AD4045"/>
    <w:rsid w:val="00AD7670"/>
    <w:rsid w:val="00AE2EEB"/>
    <w:rsid w:val="00AE541F"/>
    <w:rsid w:val="00AE61BC"/>
    <w:rsid w:val="00AE68BE"/>
    <w:rsid w:val="00AE71EC"/>
    <w:rsid w:val="00AF2141"/>
    <w:rsid w:val="00AF24C6"/>
    <w:rsid w:val="00AF574D"/>
    <w:rsid w:val="00AF72DC"/>
    <w:rsid w:val="00AF7CD4"/>
    <w:rsid w:val="00B014CE"/>
    <w:rsid w:val="00B01D62"/>
    <w:rsid w:val="00B02DBF"/>
    <w:rsid w:val="00B07095"/>
    <w:rsid w:val="00B10048"/>
    <w:rsid w:val="00B11978"/>
    <w:rsid w:val="00B12C83"/>
    <w:rsid w:val="00B1496F"/>
    <w:rsid w:val="00B1608D"/>
    <w:rsid w:val="00B20029"/>
    <w:rsid w:val="00B25984"/>
    <w:rsid w:val="00B270AA"/>
    <w:rsid w:val="00B32AFF"/>
    <w:rsid w:val="00B33826"/>
    <w:rsid w:val="00B3420F"/>
    <w:rsid w:val="00B41A8B"/>
    <w:rsid w:val="00B47315"/>
    <w:rsid w:val="00B519A7"/>
    <w:rsid w:val="00B5256F"/>
    <w:rsid w:val="00B55803"/>
    <w:rsid w:val="00B57917"/>
    <w:rsid w:val="00B61606"/>
    <w:rsid w:val="00B63B12"/>
    <w:rsid w:val="00B64156"/>
    <w:rsid w:val="00B70CDC"/>
    <w:rsid w:val="00B75575"/>
    <w:rsid w:val="00B75AD3"/>
    <w:rsid w:val="00B76753"/>
    <w:rsid w:val="00B8151F"/>
    <w:rsid w:val="00B82610"/>
    <w:rsid w:val="00B83B64"/>
    <w:rsid w:val="00B84F12"/>
    <w:rsid w:val="00B85427"/>
    <w:rsid w:val="00B87193"/>
    <w:rsid w:val="00B87F8A"/>
    <w:rsid w:val="00B90B5D"/>
    <w:rsid w:val="00B90F57"/>
    <w:rsid w:val="00B95B38"/>
    <w:rsid w:val="00B961B3"/>
    <w:rsid w:val="00B97E61"/>
    <w:rsid w:val="00B97FBA"/>
    <w:rsid w:val="00BA07EF"/>
    <w:rsid w:val="00BA369A"/>
    <w:rsid w:val="00BA440E"/>
    <w:rsid w:val="00BA532C"/>
    <w:rsid w:val="00BA54FD"/>
    <w:rsid w:val="00BA5DBF"/>
    <w:rsid w:val="00BB1EB6"/>
    <w:rsid w:val="00BC0179"/>
    <w:rsid w:val="00BC324C"/>
    <w:rsid w:val="00BC3C71"/>
    <w:rsid w:val="00BD0A99"/>
    <w:rsid w:val="00BD13A6"/>
    <w:rsid w:val="00BD2873"/>
    <w:rsid w:val="00BD49CD"/>
    <w:rsid w:val="00BD71E5"/>
    <w:rsid w:val="00BE036D"/>
    <w:rsid w:val="00BE1492"/>
    <w:rsid w:val="00BE1C2B"/>
    <w:rsid w:val="00BE3200"/>
    <w:rsid w:val="00BE32E9"/>
    <w:rsid w:val="00BE488B"/>
    <w:rsid w:val="00BE78C4"/>
    <w:rsid w:val="00BF0558"/>
    <w:rsid w:val="00BF07D9"/>
    <w:rsid w:val="00BF0EED"/>
    <w:rsid w:val="00BF4714"/>
    <w:rsid w:val="00BF6929"/>
    <w:rsid w:val="00C01146"/>
    <w:rsid w:val="00C0415D"/>
    <w:rsid w:val="00C06043"/>
    <w:rsid w:val="00C0722E"/>
    <w:rsid w:val="00C07A2D"/>
    <w:rsid w:val="00C10136"/>
    <w:rsid w:val="00C11199"/>
    <w:rsid w:val="00C15646"/>
    <w:rsid w:val="00C16DE1"/>
    <w:rsid w:val="00C26FF3"/>
    <w:rsid w:val="00C3073F"/>
    <w:rsid w:val="00C324F9"/>
    <w:rsid w:val="00C33BFF"/>
    <w:rsid w:val="00C37F53"/>
    <w:rsid w:val="00C416BA"/>
    <w:rsid w:val="00C4260F"/>
    <w:rsid w:val="00C43B5C"/>
    <w:rsid w:val="00C459F1"/>
    <w:rsid w:val="00C45F49"/>
    <w:rsid w:val="00C474C2"/>
    <w:rsid w:val="00C47742"/>
    <w:rsid w:val="00C50CDA"/>
    <w:rsid w:val="00C52C64"/>
    <w:rsid w:val="00C543CC"/>
    <w:rsid w:val="00C564EE"/>
    <w:rsid w:val="00C57D02"/>
    <w:rsid w:val="00C61F42"/>
    <w:rsid w:val="00C62B87"/>
    <w:rsid w:val="00C63F12"/>
    <w:rsid w:val="00C65D44"/>
    <w:rsid w:val="00C6642C"/>
    <w:rsid w:val="00C718E2"/>
    <w:rsid w:val="00C77CD8"/>
    <w:rsid w:val="00C800B0"/>
    <w:rsid w:val="00C8151F"/>
    <w:rsid w:val="00C82C9A"/>
    <w:rsid w:val="00C85252"/>
    <w:rsid w:val="00C9272C"/>
    <w:rsid w:val="00C97685"/>
    <w:rsid w:val="00C97EB5"/>
    <w:rsid w:val="00CA06F5"/>
    <w:rsid w:val="00CA3516"/>
    <w:rsid w:val="00CB1F2F"/>
    <w:rsid w:val="00CB4AB7"/>
    <w:rsid w:val="00CC1734"/>
    <w:rsid w:val="00CC1B4D"/>
    <w:rsid w:val="00CC29AE"/>
    <w:rsid w:val="00CC582F"/>
    <w:rsid w:val="00CC64F2"/>
    <w:rsid w:val="00CC7E21"/>
    <w:rsid w:val="00CD013A"/>
    <w:rsid w:val="00CD4399"/>
    <w:rsid w:val="00CF096E"/>
    <w:rsid w:val="00CF3BF0"/>
    <w:rsid w:val="00CF5690"/>
    <w:rsid w:val="00CF75E2"/>
    <w:rsid w:val="00D01111"/>
    <w:rsid w:val="00D01AAE"/>
    <w:rsid w:val="00D0263B"/>
    <w:rsid w:val="00D06B85"/>
    <w:rsid w:val="00D07149"/>
    <w:rsid w:val="00D077B9"/>
    <w:rsid w:val="00D078BC"/>
    <w:rsid w:val="00D11829"/>
    <w:rsid w:val="00D1299B"/>
    <w:rsid w:val="00D142F5"/>
    <w:rsid w:val="00D1473B"/>
    <w:rsid w:val="00D14CEE"/>
    <w:rsid w:val="00D15D42"/>
    <w:rsid w:val="00D161CB"/>
    <w:rsid w:val="00D1773F"/>
    <w:rsid w:val="00D17DBC"/>
    <w:rsid w:val="00D20C64"/>
    <w:rsid w:val="00D214CC"/>
    <w:rsid w:val="00D2329C"/>
    <w:rsid w:val="00D273EF"/>
    <w:rsid w:val="00D27933"/>
    <w:rsid w:val="00D3120F"/>
    <w:rsid w:val="00D32AFD"/>
    <w:rsid w:val="00D352B2"/>
    <w:rsid w:val="00D36F58"/>
    <w:rsid w:val="00D40044"/>
    <w:rsid w:val="00D41CDC"/>
    <w:rsid w:val="00D43C41"/>
    <w:rsid w:val="00D447F6"/>
    <w:rsid w:val="00D501D8"/>
    <w:rsid w:val="00D57F17"/>
    <w:rsid w:val="00D63E7A"/>
    <w:rsid w:val="00D67510"/>
    <w:rsid w:val="00D81162"/>
    <w:rsid w:val="00D81EEB"/>
    <w:rsid w:val="00D840D7"/>
    <w:rsid w:val="00D84F7D"/>
    <w:rsid w:val="00D8748C"/>
    <w:rsid w:val="00D87D4B"/>
    <w:rsid w:val="00D90FC5"/>
    <w:rsid w:val="00D926E4"/>
    <w:rsid w:val="00D9288A"/>
    <w:rsid w:val="00D94AC4"/>
    <w:rsid w:val="00D951E4"/>
    <w:rsid w:val="00DA1B16"/>
    <w:rsid w:val="00DA24BB"/>
    <w:rsid w:val="00DA6C52"/>
    <w:rsid w:val="00DB0B2B"/>
    <w:rsid w:val="00DB100F"/>
    <w:rsid w:val="00DB5390"/>
    <w:rsid w:val="00DB6875"/>
    <w:rsid w:val="00DC199B"/>
    <w:rsid w:val="00DC2B43"/>
    <w:rsid w:val="00DC30AC"/>
    <w:rsid w:val="00DC4735"/>
    <w:rsid w:val="00DC6C64"/>
    <w:rsid w:val="00DC71C5"/>
    <w:rsid w:val="00DC75BD"/>
    <w:rsid w:val="00DC78D1"/>
    <w:rsid w:val="00DD514F"/>
    <w:rsid w:val="00DD71F4"/>
    <w:rsid w:val="00DE2AF0"/>
    <w:rsid w:val="00DE2C66"/>
    <w:rsid w:val="00DE4257"/>
    <w:rsid w:val="00DE4802"/>
    <w:rsid w:val="00DE5BC9"/>
    <w:rsid w:val="00DF1673"/>
    <w:rsid w:val="00DF28B3"/>
    <w:rsid w:val="00E0095E"/>
    <w:rsid w:val="00E01A6A"/>
    <w:rsid w:val="00E04177"/>
    <w:rsid w:val="00E048E3"/>
    <w:rsid w:val="00E06720"/>
    <w:rsid w:val="00E07554"/>
    <w:rsid w:val="00E10150"/>
    <w:rsid w:val="00E1114C"/>
    <w:rsid w:val="00E13B65"/>
    <w:rsid w:val="00E144D0"/>
    <w:rsid w:val="00E157FB"/>
    <w:rsid w:val="00E21CA7"/>
    <w:rsid w:val="00E3097F"/>
    <w:rsid w:val="00E30F6A"/>
    <w:rsid w:val="00E31625"/>
    <w:rsid w:val="00E342AC"/>
    <w:rsid w:val="00E44189"/>
    <w:rsid w:val="00E46060"/>
    <w:rsid w:val="00E47BA1"/>
    <w:rsid w:val="00E50106"/>
    <w:rsid w:val="00E55112"/>
    <w:rsid w:val="00E566B8"/>
    <w:rsid w:val="00E579DC"/>
    <w:rsid w:val="00E601E5"/>
    <w:rsid w:val="00E6176C"/>
    <w:rsid w:val="00E62B46"/>
    <w:rsid w:val="00E6774C"/>
    <w:rsid w:val="00E67D5C"/>
    <w:rsid w:val="00E70F40"/>
    <w:rsid w:val="00E720F1"/>
    <w:rsid w:val="00E739C0"/>
    <w:rsid w:val="00E752A4"/>
    <w:rsid w:val="00E75C8E"/>
    <w:rsid w:val="00E8334F"/>
    <w:rsid w:val="00E862DD"/>
    <w:rsid w:val="00E87FBD"/>
    <w:rsid w:val="00E91EC1"/>
    <w:rsid w:val="00E946AF"/>
    <w:rsid w:val="00EA04F2"/>
    <w:rsid w:val="00EA2F09"/>
    <w:rsid w:val="00EA5D4B"/>
    <w:rsid w:val="00EA66D4"/>
    <w:rsid w:val="00EA7218"/>
    <w:rsid w:val="00EB19AC"/>
    <w:rsid w:val="00EB2C04"/>
    <w:rsid w:val="00EB4191"/>
    <w:rsid w:val="00EB4D48"/>
    <w:rsid w:val="00EB51D8"/>
    <w:rsid w:val="00EB5BF6"/>
    <w:rsid w:val="00EC0699"/>
    <w:rsid w:val="00EC24E7"/>
    <w:rsid w:val="00ED046C"/>
    <w:rsid w:val="00EE046B"/>
    <w:rsid w:val="00EE6D23"/>
    <w:rsid w:val="00EF1A4C"/>
    <w:rsid w:val="00EF2458"/>
    <w:rsid w:val="00EF4D04"/>
    <w:rsid w:val="00EF6548"/>
    <w:rsid w:val="00F03606"/>
    <w:rsid w:val="00F04AF4"/>
    <w:rsid w:val="00F05563"/>
    <w:rsid w:val="00F058E1"/>
    <w:rsid w:val="00F06E56"/>
    <w:rsid w:val="00F14509"/>
    <w:rsid w:val="00F14921"/>
    <w:rsid w:val="00F15717"/>
    <w:rsid w:val="00F17D35"/>
    <w:rsid w:val="00F20010"/>
    <w:rsid w:val="00F20AE5"/>
    <w:rsid w:val="00F20EF2"/>
    <w:rsid w:val="00F23EFD"/>
    <w:rsid w:val="00F25156"/>
    <w:rsid w:val="00F27B64"/>
    <w:rsid w:val="00F27EEA"/>
    <w:rsid w:val="00F333A2"/>
    <w:rsid w:val="00F348FF"/>
    <w:rsid w:val="00F37ECF"/>
    <w:rsid w:val="00F4430D"/>
    <w:rsid w:val="00F445A5"/>
    <w:rsid w:val="00F50C42"/>
    <w:rsid w:val="00F52295"/>
    <w:rsid w:val="00F56118"/>
    <w:rsid w:val="00F56BFA"/>
    <w:rsid w:val="00F610D8"/>
    <w:rsid w:val="00F626B6"/>
    <w:rsid w:val="00F64AE3"/>
    <w:rsid w:val="00F66D5B"/>
    <w:rsid w:val="00F739F4"/>
    <w:rsid w:val="00F7572A"/>
    <w:rsid w:val="00F80C17"/>
    <w:rsid w:val="00F83FE6"/>
    <w:rsid w:val="00F84AEC"/>
    <w:rsid w:val="00F9297D"/>
    <w:rsid w:val="00F9767F"/>
    <w:rsid w:val="00F97ED3"/>
    <w:rsid w:val="00FA0266"/>
    <w:rsid w:val="00FA1562"/>
    <w:rsid w:val="00FA24DD"/>
    <w:rsid w:val="00FA38AF"/>
    <w:rsid w:val="00FA6CD9"/>
    <w:rsid w:val="00FB49B5"/>
    <w:rsid w:val="00FC0A4D"/>
    <w:rsid w:val="00FC0D9D"/>
    <w:rsid w:val="00FC12A3"/>
    <w:rsid w:val="00FC43BE"/>
    <w:rsid w:val="00FC5158"/>
    <w:rsid w:val="00FC7589"/>
    <w:rsid w:val="00FD4361"/>
    <w:rsid w:val="00FD5E3E"/>
    <w:rsid w:val="00FD789A"/>
    <w:rsid w:val="00FE2831"/>
    <w:rsid w:val="00FE473D"/>
    <w:rsid w:val="00FE725D"/>
    <w:rsid w:val="00FF049A"/>
    <w:rsid w:val="00FF78E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035B"/>
    <w:pPr>
      <w:widowControl w:val="0"/>
      <w:jc w:val="both"/>
    </w:pPr>
    <w:rPr>
      <w:rFonts w:ascii="Times New Roman" w:hAnsi="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7035B"/>
    <w:pPr>
      <w:pBdr>
        <w:bottom w:val="single" w:sz="6" w:space="1" w:color="auto"/>
      </w:pBdr>
      <w:tabs>
        <w:tab w:val="center" w:pos="4153"/>
        <w:tab w:val="right" w:pos="8306"/>
      </w:tabs>
      <w:snapToGrid w:val="0"/>
      <w:jc w:val="center"/>
    </w:pPr>
    <w:rPr>
      <w:rFonts w:ascii="Calibri" w:hAnsi="Calibri"/>
      <w:kern w:val="0"/>
      <w:sz w:val="18"/>
      <w:szCs w:val="18"/>
    </w:rPr>
  </w:style>
  <w:style w:type="character" w:customStyle="1" w:styleId="Char">
    <w:name w:val="页眉 Char"/>
    <w:link w:val="a3"/>
    <w:uiPriority w:val="99"/>
    <w:rsid w:val="00A7035B"/>
    <w:rPr>
      <w:sz w:val="18"/>
      <w:szCs w:val="18"/>
    </w:rPr>
  </w:style>
  <w:style w:type="paragraph" w:styleId="a4">
    <w:name w:val="footer"/>
    <w:basedOn w:val="a"/>
    <w:link w:val="Char0"/>
    <w:uiPriority w:val="99"/>
    <w:unhideWhenUsed/>
    <w:rsid w:val="00A7035B"/>
    <w:pPr>
      <w:tabs>
        <w:tab w:val="center" w:pos="4153"/>
        <w:tab w:val="right" w:pos="8306"/>
      </w:tabs>
      <w:snapToGrid w:val="0"/>
      <w:jc w:val="left"/>
    </w:pPr>
    <w:rPr>
      <w:rFonts w:ascii="Calibri" w:hAnsi="Calibri"/>
      <w:kern w:val="0"/>
      <w:sz w:val="18"/>
      <w:szCs w:val="18"/>
    </w:rPr>
  </w:style>
  <w:style w:type="character" w:customStyle="1" w:styleId="Char0">
    <w:name w:val="页脚 Char"/>
    <w:link w:val="a4"/>
    <w:uiPriority w:val="99"/>
    <w:rsid w:val="00A7035B"/>
    <w:rPr>
      <w:sz w:val="18"/>
      <w:szCs w:val="18"/>
    </w:rPr>
  </w:style>
  <w:style w:type="paragraph" w:customStyle="1" w:styleId="msonormalcxspmiddle">
    <w:name w:val="msonormalcxspmiddle"/>
    <w:basedOn w:val="a"/>
    <w:rsid w:val="00A7035B"/>
    <w:pPr>
      <w:widowControl/>
      <w:spacing w:before="100" w:beforeAutospacing="1" w:after="100" w:afterAutospacing="1"/>
      <w:jc w:val="left"/>
    </w:pPr>
    <w:rPr>
      <w:rFonts w:ascii="宋体" w:hAnsi="宋体" w:cs="宋体"/>
      <w:kern w:val="0"/>
      <w:sz w:val="24"/>
      <w:szCs w:val="24"/>
    </w:rPr>
  </w:style>
  <w:style w:type="paragraph" w:styleId="a5">
    <w:name w:val="List Paragraph"/>
    <w:basedOn w:val="a"/>
    <w:uiPriority w:val="34"/>
    <w:qFormat/>
    <w:rsid w:val="00A7035B"/>
    <w:pPr>
      <w:widowControl/>
      <w:ind w:firstLine="420"/>
    </w:pPr>
    <w:rPr>
      <w:rFonts w:ascii="Calibri" w:hAnsi="Calibri" w:cs="宋体"/>
      <w:kern w:val="0"/>
      <w:szCs w:val="21"/>
    </w:rPr>
  </w:style>
</w:styles>
</file>

<file path=word/webSettings.xml><?xml version="1.0" encoding="utf-8"?>
<w:webSettings xmlns:r="http://schemas.openxmlformats.org/officeDocument/2006/relationships" xmlns:w="http://schemas.openxmlformats.org/wordprocessingml/2006/main">
  <w:divs>
    <w:div w:id="30158347">
      <w:bodyDiv w:val="1"/>
      <w:marLeft w:val="0"/>
      <w:marRight w:val="0"/>
      <w:marTop w:val="0"/>
      <w:marBottom w:val="0"/>
      <w:divBdr>
        <w:top w:val="none" w:sz="0" w:space="0" w:color="auto"/>
        <w:left w:val="none" w:sz="0" w:space="0" w:color="auto"/>
        <w:bottom w:val="none" w:sz="0" w:space="0" w:color="auto"/>
        <w:right w:val="none" w:sz="0" w:space="0" w:color="auto"/>
      </w:divBdr>
    </w:div>
    <w:div w:id="49499513">
      <w:bodyDiv w:val="1"/>
      <w:marLeft w:val="0"/>
      <w:marRight w:val="0"/>
      <w:marTop w:val="0"/>
      <w:marBottom w:val="0"/>
      <w:divBdr>
        <w:top w:val="none" w:sz="0" w:space="0" w:color="auto"/>
        <w:left w:val="none" w:sz="0" w:space="0" w:color="auto"/>
        <w:bottom w:val="none" w:sz="0" w:space="0" w:color="auto"/>
        <w:right w:val="none" w:sz="0" w:space="0" w:color="auto"/>
      </w:divBdr>
    </w:div>
    <w:div w:id="83497230">
      <w:bodyDiv w:val="1"/>
      <w:marLeft w:val="0"/>
      <w:marRight w:val="0"/>
      <w:marTop w:val="0"/>
      <w:marBottom w:val="0"/>
      <w:divBdr>
        <w:top w:val="none" w:sz="0" w:space="0" w:color="auto"/>
        <w:left w:val="none" w:sz="0" w:space="0" w:color="auto"/>
        <w:bottom w:val="none" w:sz="0" w:space="0" w:color="auto"/>
        <w:right w:val="none" w:sz="0" w:space="0" w:color="auto"/>
      </w:divBdr>
    </w:div>
    <w:div w:id="105738192">
      <w:bodyDiv w:val="1"/>
      <w:marLeft w:val="0"/>
      <w:marRight w:val="0"/>
      <w:marTop w:val="0"/>
      <w:marBottom w:val="0"/>
      <w:divBdr>
        <w:top w:val="none" w:sz="0" w:space="0" w:color="auto"/>
        <w:left w:val="none" w:sz="0" w:space="0" w:color="auto"/>
        <w:bottom w:val="none" w:sz="0" w:space="0" w:color="auto"/>
        <w:right w:val="none" w:sz="0" w:space="0" w:color="auto"/>
      </w:divBdr>
    </w:div>
    <w:div w:id="140007271">
      <w:bodyDiv w:val="1"/>
      <w:marLeft w:val="0"/>
      <w:marRight w:val="0"/>
      <w:marTop w:val="0"/>
      <w:marBottom w:val="0"/>
      <w:divBdr>
        <w:top w:val="none" w:sz="0" w:space="0" w:color="auto"/>
        <w:left w:val="none" w:sz="0" w:space="0" w:color="auto"/>
        <w:bottom w:val="none" w:sz="0" w:space="0" w:color="auto"/>
        <w:right w:val="none" w:sz="0" w:space="0" w:color="auto"/>
      </w:divBdr>
    </w:div>
    <w:div w:id="154758604">
      <w:bodyDiv w:val="1"/>
      <w:marLeft w:val="0"/>
      <w:marRight w:val="0"/>
      <w:marTop w:val="0"/>
      <w:marBottom w:val="0"/>
      <w:divBdr>
        <w:top w:val="none" w:sz="0" w:space="0" w:color="auto"/>
        <w:left w:val="none" w:sz="0" w:space="0" w:color="auto"/>
        <w:bottom w:val="none" w:sz="0" w:space="0" w:color="auto"/>
        <w:right w:val="none" w:sz="0" w:space="0" w:color="auto"/>
      </w:divBdr>
    </w:div>
    <w:div w:id="224414542">
      <w:bodyDiv w:val="1"/>
      <w:marLeft w:val="0"/>
      <w:marRight w:val="0"/>
      <w:marTop w:val="0"/>
      <w:marBottom w:val="0"/>
      <w:divBdr>
        <w:top w:val="none" w:sz="0" w:space="0" w:color="auto"/>
        <w:left w:val="none" w:sz="0" w:space="0" w:color="auto"/>
        <w:bottom w:val="none" w:sz="0" w:space="0" w:color="auto"/>
        <w:right w:val="none" w:sz="0" w:space="0" w:color="auto"/>
      </w:divBdr>
    </w:div>
    <w:div w:id="255983651">
      <w:bodyDiv w:val="1"/>
      <w:marLeft w:val="0"/>
      <w:marRight w:val="0"/>
      <w:marTop w:val="0"/>
      <w:marBottom w:val="0"/>
      <w:divBdr>
        <w:top w:val="none" w:sz="0" w:space="0" w:color="auto"/>
        <w:left w:val="none" w:sz="0" w:space="0" w:color="auto"/>
        <w:bottom w:val="none" w:sz="0" w:space="0" w:color="auto"/>
        <w:right w:val="none" w:sz="0" w:space="0" w:color="auto"/>
      </w:divBdr>
    </w:div>
    <w:div w:id="309676168">
      <w:bodyDiv w:val="1"/>
      <w:marLeft w:val="0"/>
      <w:marRight w:val="0"/>
      <w:marTop w:val="0"/>
      <w:marBottom w:val="0"/>
      <w:divBdr>
        <w:top w:val="none" w:sz="0" w:space="0" w:color="auto"/>
        <w:left w:val="none" w:sz="0" w:space="0" w:color="auto"/>
        <w:bottom w:val="none" w:sz="0" w:space="0" w:color="auto"/>
        <w:right w:val="none" w:sz="0" w:space="0" w:color="auto"/>
      </w:divBdr>
    </w:div>
    <w:div w:id="337735128">
      <w:bodyDiv w:val="1"/>
      <w:marLeft w:val="0"/>
      <w:marRight w:val="0"/>
      <w:marTop w:val="0"/>
      <w:marBottom w:val="0"/>
      <w:divBdr>
        <w:top w:val="none" w:sz="0" w:space="0" w:color="auto"/>
        <w:left w:val="none" w:sz="0" w:space="0" w:color="auto"/>
        <w:bottom w:val="none" w:sz="0" w:space="0" w:color="auto"/>
        <w:right w:val="none" w:sz="0" w:space="0" w:color="auto"/>
      </w:divBdr>
    </w:div>
    <w:div w:id="392822954">
      <w:bodyDiv w:val="1"/>
      <w:marLeft w:val="0"/>
      <w:marRight w:val="0"/>
      <w:marTop w:val="0"/>
      <w:marBottom w:val="0"/>
      <w:divBdr>
        <w:top w:val="none" w:sz="0" w:space="0" w:color="auto"/>
        <w:left w:val="none" w:sz="0" w:space="0" w:color="auto"/>
        <w:bottom w:val="none" w:sz="0" w:space="0" w:color="auto"/>
        <w:right w:val="none" w:sz="0" w:space="0" w:color="auto"/>
      </w:divBdr>
    </w:div>
    <w:div w:id="395708031">
      <w:bodyDiv w:val="1"/>
      <w:marLeft w:val="0"/>
      <w:marRight w:val="0"/>
      <w:marTop w:val="0"/>
      <w:marBottom w:val="0"/>
      <w:divBdr>
        <w:top w:val="none" w:sz="0" w:space="0" w:color="auto"/>
        <w:left w:val="none" w:sz="0" w:space="0" w:color="auto"/>
        <w:bottom w:val="none" w:sz="0" w:space="0" w:color="auto"/>
        <w:right w:val="none" w:sz="0" w:space="0" w:color="auto"/>
      </w:divBdr>
    </w:div>
    <w:div w:id="399326647">
      <w:bodyDiv w:val="1"/>
      <w:marLeft w:val="0"/>
      <w:marRight w:val="0"/>
      <w:marTop w:val="0"/>
      <w:marBottom w:val="0"/>
      <w:divBdr>
        <w:top w:val="none" w:sz="0" w:space="0" w:color="auto"/>
        <w:left w:val="none" w:sz="0" w:space="0" w:color="auto"/>
        <w:bottom w:val="none" w:sz="0" w:space="0" w:color="auto"/>
        <w:right w:val="none" w:sz="0" w:space="0" w:color="auto"/>
      </w:divBdr>
    </w:div>
    <w:div w:id="428084269">
      <w:bodyDiv w:val="1"/>
      <w:marLeft w:val="0"/>
      <w:marRight w:val="0"/>
      <w:marTop w:val="0"/>
      <w:marBottom w:val="0"/>
      <w:divBdr>
        <w:top w:val="none" w:sz="0" w:space="0" w:color="auto"/>
        <w:left w:val="none" w:sz="0" w:space="0" w:color="auto"/>
        <w:bottom w:val="none" w:sz="0" w:space="0" w:color="auto"/>
        <w:right w:val="none" w:sz="0" w:space="0" w:color="auto"/>
      </w:divBdr>
    </w:div>
    <w:div w:id="430201391">
      <w:bodyDiv w:val="1"/>
      <w:marLeft w:val="0"/>
      <w:marRight w:val="0"/>
      <w:marTop w:val="0"/>
      <w:marBottom w:val="0"/>
      <w:divBdr>
        <w:top w:val="none" w:sz="0" w:space="0" w:color="auto"/>
        <w:left w:val="none" w:sz="0" w:space="0" w:color="auto"/>
        <w:bottom w:val="none" w:sz="0" w:space="0" w:color="auto"/>
        <w:right w:val="none" w:sz="0" w:space="0" w:color="auto"/>
      </w:divBdr>
    </w:div>
    <w:div w:id="436601819">
      <w:bodyDiv w:val="1"/>
      <w:marLeft w:val="0"/>
      <w:marRight w:val="0"/>
      <w:marTop w:val="0"/>
      <w:marBottom w:val="0"/>
      <w:divBdr>
        <w:top w:val="none" w:sz="0" w:space="0" w:color="auto"/>
        <w:left w:val="none" w:sz="0" w:space="0" w:color="auto"/>
        <w:bottom w:val="none" w:sz="0" w:space="0" w:color="auto"/>
        <w:right w:val="none" w:sz="0" w:space="0" w:color="auto"/>
      </w:divBdr>
    </w:div>
    <w:div w:id="437144828">
      <w:bodyDiv w:val="1"/>
      <w:marLeft w:val="0"/>
      <w:marRight w:val="0"/>
      <w:marTop w:val="0"/>
      <w:marBottom w:val="0"/>
      <w:divBdr>
        <w:top w:val="none" w:sz="0" w:space="0" w:color="auto"/>
        <w:left w:val="none" w:sz="0" w:space="0" w:color="auto"/>
        <w:bottom w:val="none" w:sz="0" w:space="0" w:color="auto"/>
        <w:right w:val="none" w:sz="0" w:space="0" w:color="auto"/>
      </w:divBdr>
    </w:div>
    <w:div w:id="472255785">
      <w:bodyDiv w:val="1"/>
      <w:marLeft w:val="0"/>
      <w:marRight w:val="0"/>
      <w:marTop w:val="0"/>
      <w:marBottom w:val="0"/>
      <w:divBdr>
        <w:top w:val="none" w:sz="0" w:space="0" w:color="auto"/>
        <w:left w:val="none" w:sz="0" w:space="0" w:color="auto"/>
        <w:bottom w:val="none" w:sz="0" w:space="0" w:color="auto"/>
        <w:right w:val="none" w:sz="0" w:space="0" w:color="auto"/>
      </w:divBdr>
    </w:div>
    <w:div w:id="490609068">
      <w:bodyDiv w:val="1"/>
      <w:marLeft w:val="0"/>
      <w:marRight w:val="0"/>
      <w:marTop w:val="0"/>
      <w:marBottom w:val="0"/>
      <w:divBdr>
        <w:top w:val="none" w:sz="0" w:space="0" w:color="auto"/>
        <w:left w:val="none" w:sz="0" w:space="0" w:color="auto"/>
        <w:bottom w:val="none" w:sz="0" w:space="0" w:color="auto"/>
        <w:right w:val="none" w:sz="0" w:space="0" w:color="auto"/>
      </w:divBdr>
    </w:div>
    <w:div w:id="492841024">
      <w:bodyDiv w:val="1"/>
      <w:marLeft w:val="0"/>
      <w:marRight w:val="0"/>
      <w:marTop w:val="0"/>
      <w:marBottom w:val="0"/>
      <w:divBdr>
        <w:top w:val="none" w:sz="0" w:space="0" w:color="auto"/>
        <w:left w:val="none" w:sz="0" w:space="0" w:color="auto"/>
        <w:bottom w:val="none" w:sz="0" w:space="0" w:color="auto"/>
        <w:right w:val="none" w:sz="0" w:space="0" w:color="auto"/>
      </w:divBdr>
    </w:div>
    <w:div w:id="494220923">
      <w:bodyDiv w:val="1"/>
      <w:marLeft w:val="0"/>
      <w:marRight w:val="0"/>
      <w:marTop w:val="0"/>
      <w:marBottom w:val="0"/>
      <w:divBdr>
        <w:top w:val="none" w:sz="0" w:space="0" w:color="auto"/>
        <w:left w:val="none" w:sz="0" w:space="0" w:color="auto"/>
        <w:bottom w:val="none" w:sz="0" w:space="0" w:color="auto"/>
        <w:right w:val="none" w:sz="0" w:space="0" w:color="auto"/>
      </w:divBdr>
    </w:div>
    <w:div w:id="516163634">
      <w:bodyDiv w:val="1"/>
      <w:marLeft w:val="0"/>
      <w:marRight w:val="0"/>
      <w:marTop w:val="0"/>
      <w:marBottom w:val="0"/>
      <w:divBdr>
        <w:top w:val="none" w:sz="0" w:space="0" w:color="auto"/>
        <w:left w:val="none" w:sz="0" w:space="0" w:color="auto"/>
        <w:bottom w:val="none" w:sz="0" w:space="0" w:color="auto"/>
        <w:right w:val="none" w:sz="0" w:space="0" w:color="auto"/>
      </w:divBdr>
    </w:div>
    <w:div w:id="525679991">
      <w:bodyDiv w:val="1"/>
      <w:marLeft w:val="0"/>
      <w:marRight w:val="0"/>
      <w:marTop w:val="0"/>
      <w:marBottom w:val="0"/>
      <w:divBdr>
        <w:top w:val="none" w:sz="0" w:space="0" w:color="auto"/>
        <w:left w:val="none" w:sz="0" w:space="0" w:color="auto"/>
        <w:bottom w:val="none" w:sz="0" w:space="0" w:color="auto"/>
        <w:right w:val="none" w:sz="0" w:space="0" w:color="auto"/>
      </w:divBdr>
    </w:div>
    <w:div w:id="560404459">
      <w:bodyDiv w:val="1"/>
      <w:marLeft w:val="0"/>
      <w:marRight w:val="0"/>
      <w:marTop w:val="0"/>
      <w:marBottom w:val="0"/>
      <w:divBdr>
        <w:top w:val="none" w:sz="0" w:space="0" w:color="auto"/>
        <w:left w:val="none" w:sz="0" w:space="0" w:color="auto"/>
        <w:bottom w:val="none" w:sz="0" w:space="0" w:color="auto"/>
        <w:right w:val="none" w:sz="0" w:space="0" w:color="auto"/>
      </w:divBdr>
    </w:div>
    <w:div w:id="576288323">
      <w:bodyDiv w:val="1"/>
      <w:marLeft w:val="0"/>
      <w:marRight w:val="0"/>
      <w:marTop w:val="0"/>
      <w:marBottom w:val="0"/>
      <w:divBdr>
        <w:top w:val="none" w:sz="0" w:space="0" w:color="auto"/>
        <w:left w:val="none" w:sz="0" w:space="0" w:color="auto"/>
        <w:bottom w:val="none" w:sz="0" w:space="0" w:color="auto"/>
        <w:right w:val="none" w:sz="0" w:space="0" w:color="auto"/>
      </w:divBdr>
    </w:div>
    <w:div w:id="638538624">
      <w:bodyDiv w:val="1"/>
      <w:marLeft w:val="0"/>
      <w:marRight w:val="0"/>
      <w:marTop w:val="0"/>
      <w:marBottom w:val="0"/>
      <w:divBdr>
        <w:top w:val="none" w:sz="0" w:space="0" w:color="auto"/>
        <w:left w:val="none" w:sz="0" w:space="0" w:color="auto"/>
        <w:bottom w:val="none" w:sz="0" w:space="0" w:color="auto"/>
        <w:right w:val="none" w:sz="0" w:space="0" w:color="auto"/>
      </w:divBdr>
    </w:div>
    <w:div w:id="667560575">
      <w:bodyDiv w:val="1"/>
      <w:marLeft w:val="0"/>
      <w:marRight w:val="0"/>
      <w:marTop w:val="0"/>
      <w:marBottom w:val="0"/>
      <w:divBdr>
        <w:top w:val="none" w:sz="0" w:space="0" w:color="auto"/>
        <w:left w:val="none" w:sz="0" w:space="0" w:color="auto"/>
        <w:bottom w:val="none" w:sz="0" w:space="0" w:color="auto"/>
        <w:right w:val="none" w:sz="0" w:space="0" w:color="auto"/>
      </w:divBdr>
    </w:div>
    <w:div w:id="688677485">
      <w:bodyDiv w:val="1"/>
      <w:marLeft w:val="0"/>
      <w:marRight w:val="0"/>
      <w:marTop w:val="0"/>
      <w:marBottom w:val="0"/>
      <w:divBdr>
        <w:top w:val="none" w:sz="0" w:space="0" w:color="auto"/>
        <w:left w:val="none" w:sz="0" w:space="0" w:color="auto"/>
        <w:bottom w:val="none" w:sz="0" w:space="0" w:color="auto"/>
        <w:right w:val="none" w:sz="0" w:space="0" w:color="auto"/>
      </w:divBdr>
    </w:div>
    <w:div w:id="710492498">
      <w:bodyDiv w:val="1"/>
      <w:marLeft w:val="0"/>
      <w:marRight w:val="0"/>
      <w:marTop w:val="0"/>
      <w:marBottom w:val="0"/>
      <w:divBdr>
        <w:top w:val="none" w:sz="0" w:space="0" w:color="auto"/>
        <w:left w:val="none" w:sz="0" w:space="0" w:color="auto"/>
        <w:bottom w:val="none" w:sz="0" w:space="0" w:color="auto"/>
        <w:right w:val="none" w:sz="0" w:space="0" w:color="auto"/>
      </w:divBdr>
    </w:div>
    <w:div w:id="750471521">
      <w:bodyDiv w:val="1"/>
      <w:marLeft w:val="0"/>
      <w:marRight w:val="0"/>
      <w:marTop w:val="0"/>
      <w:marBottom w:val="0"/>
      <w:divBdr>
        <w:top w:val="none" w:sz="0" w:space="0" w:color="auto"/>
        <w:left w:val="none" w:sz="0" w:space="0" w:color="auto"/>
        <w:bottom w:val="none" w:sz="0" w:space="0" w:color="auto"/>
        <w:right w:val="none" w:sz="0" w:space="0" w:color="auto"/>
      </w:divBdr>
    </w:div>
    <w:div w:id="797836704">
      <w:bodyDiv w:val="1"/>
      <w:marLeft w:val="0"/>
      <w:marRight w:val="0"/>
      <w:marTop w:val="0"/>
      <w:marBottom w:val="0"/>
      <w:divBdr>
        <w:top w:val="none" w:sz="0" w:space="0" w:color="auto"/>
        <w:left w:val="none" w:sz="0" w:space="0" w:color="auto"/>
        <w:bottom w:val="none" w:sz="0" w:space="0" w:color="auto"/>
        <w:right w:val="none" w:sz="0" w:space="0" w:color="auto"/>
      </w:divBdr>
    </w:div>
    <w:div w:id="836455921">
      <w:bodyDiv w:val="1"/>
      <w:marLeft w:val="0"/>
      <w:marRight w:val="0"/>
      <w:marTop w:val="0"/>
      <w:marBottom w:val="0"/>
      <w:divBdr>
        <w:top w:val="none" w:sz="0" w:space="0" w:color="auto"/>
        <w:left w:val="none" w:sz="0" w:space="0" w:color="auto"/>
        <w:bottom w:val="none" w:sz="0" w:space="0" w:color="auto"/>
        <w:right w:val="none" w:sz="0" w:space="0" w:color="auto"/>
      </w:divBdr>
    </w:div>
    <w:div w:id="866872803">
      <w:bodyDiv w:val="1"/>
      <w:marLeft w:val="0"/>
      <w:marRight w:val="0"/>
      <w:marTop w:val="0"/>
      <w:marBottom w:val="0"/>
      <w:divBdr>
        <w:top w:val="none" w:sz="0" w:space="0" w:color="auto"/>
        <w:left w:val="none" w:sz="0" w:space="0" w:color="auto"/>
        <w:bottom w:val="none" w:sz="0" w:space="0" w:color="auto"/>
        <w:right w:val="none" w:sz="0" w:space="0" w:color="auto"/>
      </w:divBdr>
    </w:div>
    <w:div w:id="887109011">
      <w:bodyDiv w:val="1"/>
      <w:marLeft w:val="0"/>
      <w:marRight w:val="0"/>
      <w:marTop w:val="0"/>
      <w:marBottom w:val="0"/>
      <w:divBdr>
        <w:top w:val="none" w:sz="0" w:space="0" w:color="auto"/>
        <w:left w:val="none" w:sz="0" w:space="0" w:color="auto"/>
        <w:bottom w:val="none" w:sz="0" w:space="0" w:color="auto"/>
        <w:right w:val="none" w:sz="0" w:space="0" w:color="auto"/>
      </w:divBdr>
    </w:div>
    <w:div w:id="888340641">
      <w:bodyDiv w:val="1"/>
      <w:marLeft w:val="0"/>
      <w:marRight w:val="0"/>
      <w:marTop w:val="0"/>
      <w:marBottom w:val="0"/>
      <w:divBdr>
        <w:top w:val="none" w:sz="0" w:space="0" w:color="auto"/>
        <w:left w:val="none" w:sz="0" w:space="0" w:color="auto"/>
        <w:bottom w:val="none" w:sz="0" w:space="0" w:color="auto"/>
        <w:right w:val="none" w:sz="0" w:space="0" w:color="auto"/>
      </w:divBdr>
    </w:div>
    <w:div w:id="895818366">
      <w:bodyDiv w:val="1"/>
      <w:marLeft w:val="0"/>
      <w:marRight w:val="0"/>
      <w:marTop w:val="0"/>
      <w:marBottom w:val="0"/>
      <w:divBdr>
        <w:top w:val="none" w:sz="0" w:space="0" w:color="auto"/>
        <w:left w:val="none" w:sz="0" w:space="0" w:color="auto"/>
        <w:bottom w:val="none" w:sz="0" w:space="0" w:color="auto"/>
        <w:right w:val="none" w:sz="0" w:space="0" w:color="auto"/>
      </w:divBdr>
    </w:div>
    <w:div w:id="915866394">
      <w:bodyDiv w:val="1"/>
      <w:marLeft w:val="0"/>
      <w:marRight w:val="0"/>
      <w:marTop w:val="0"/>
      <w:marBottom w:val="0"/>
      <w:divBdr>
        <w:top w:val="none" w:sz="0" w:space="0" w:color="auto"/>
        <w:left w:val="none" w:sz="0" w:space="0" w:color="auto"/>
        <w:bottom w:val="none" w:sz="0" w:space="0" w:color="auto"/>
        <w:right w:val="none" w:sz="0" w:space="0" w:color="auto"/>
      </w:divBdr>
    </w:div>
    <w:div w:id="925457678">
      <w:bodyDiv w:val="1"/>
      <w:marLeft w:val="0"/>
      <w:marRight w:val="0"/>
      <w:marTop w:val="0"/>
      <w:marBottom w:val="0"/>
      <w:divBdr>
        <w:top w:val="none" w:sz="0" w:space="0" w:color="auto"/>
        <w:left w:val="none" w:sz="0" w:space="0" w:color="auto"/>
        <w:bottom w:val="none" w:sz="0" w:space="0" w:color="auto"/>
        <w:right w:val="none" w:sz="0" w:space="0" w:color="auto"/>
      </w:divBdr>
    </w:div>
    <w:div w:id="927737047">
      <w:bodyDiv w:val="1"/>
      <w:marLeft w:val="0"/>
      <w:marRight w:val="0"/>
      <w:marTop w:val="0"/>
      <w:marBottom w:val="0"/>
      <w:divBdr>
        <w:top w:val="none" w:sz="0" w:space="0" w:color="auto"/>
        <w:left w:val="none" w:sz="0" w:space="0" w:color="auto"/>
        <w:bottom w:val="none" w:sz="0" w:space="0" w:color="auto"/>
        <w:right w:val="none" w:sz="0" w:space="0" w:color="auto"/>
      </w:divBdr>
    </w:div>
    <w:div w:id="971443636">
      <w:bodyDiv w:val="1"/>
      <w:marLeft w:val="0"/>
      <w:marRight w:val="0"/>
      <w:marTop w:val="0"/>
      <w:marBottom w:val="0"/>
      <w:divBdr>
        <w:top w:val="none" w:sz="0" w:space="0" w:color="auto"/>
        <w:left w:val="none" w:sz="0" w:space="0" w:color="auto"/>
        <w:bottom w:val="none" w:sz="0" w:space="0" w:color="auto"/>
        <w:right w:val="none" w:sz="0" w:space="0" w:color="auto"/>
      </w:divBdr>
    </w:div>
    <w:div w:id="977686503">
      <w:bodyDiv w:val="1"/>
      <w:marLeft w:val="0"/>
      <w:marRight w:val="0"/>
      <w:marTop w:val="0"/>
      <w:marBottom w:val="0"/>
      <w:divBdr>
        <w:top w:val="none" w:sz="0" w:space="0" w:color="auto"/>
        <w:left w:val="none" w:sz="0" w:space="0" w:color="auto"/>
        <w:bottom w:val="none" w:sz="0" w:space="0" w:color="auto"/>
        <w:right w:val="none" w:sz="0" w:space="0" w:color="auto"/>
      </w:divBdr>
    </w:div>
    <w:div w:id="1016494782">
      <w:bodyDiv w:val="1"/>
      <w:marLeft w:val="0"/>
      <w:marRight w:val="0"/>
      <w:marTop w:val="0"/>
      <w:marBottom w:val="0"/>
      <w:divBdr>
        <w:top w:val="none" w:sz="0" w:space="0" w:color="auto"/>
        <w:left w:val="none" w:sz="0" w:space="0" w:color="auto"/>
        <w:bottom w:val="none" w:sz="0" w:space="0" w:color="auto"/>
        <w:right w:val="none" w:sz="0" w:space="0" w:color="auto"/>
      </w:divBdr>
    </w:div>
    <w:div w:id="1021980146">
      <w:bodyDiv w:val="1"/>
      <w:marLeft w:val="0"/>
      <w:marRight w:val="0"/>
      <w:marTop w:val="0"/>
      <w:marBottom w:val="0"/>
      <w:divBdr>
        <w:top w:val="none" w:sz="0" w:space="0" w:color="auto"/>
        <w:left w:val="none" w:sz="0" w:space="0" w:color="auto"/>
        <w:bottom w:val="none" w:sz="0" w:space="0" w:color="auto"/>
        <w:right w:val="none" w:sz="0" w:space="0" w:color="auto"/>
      </w:divBdr>
    </w:div>
    <w:div w:id="1084453058">
      <w:bodyDiv w:val="1"/>
      <w:marLeft w:val="0"/>
      <w:marRight w:val="0"/>
      <w:marTop w:val="0"/>
      <w:marBottom w:val="0"/>
      <w:divBdr>
        <w:top w:val="none" w:sz="0" w:space="0" w:color="auto"/>
        <w:left w:val="none" w:sz="0" w:space="0" w:color="auto"/>
        <w:bottom w:val="none" w:sz="0" w:space="0" w:color="auto"/>
        <w:right w:val="none" w:sz="0" w:space="0" w:color="auto"/>
      </w:divBdr>
    </w:div>
    <w:div w:id="1091853444">
      <w:bodyDiv w:val="1"/>
      <w:marLeft w:val="0"/>
      <w:marRight w:val="0"/>
      <w:marTop w:val="0"/>
      <w:marBottom w:val="0"/>
      <w:divBdr>
        <w:top w:val="none" w:sz="0" w:space="0" w:color="auto"/>
        <w:left w:val="none" w:sz="0" w:space="0" w:color="auto"/>
        <w:bottom w:val="none" w:sz="0" w:space="0" w:color="auto"/>
        <w:right w:val="none" w:sz="0" w:space="0" w:color="auto"/>
      </w:divBdr>
    </w:div>
    <w:div w:id="1096318530">
      <w:bodyDiv w:val="1"/>
      <w:marLeft w:val="0"/>
      <w:marRight w:val="0"/>
      <w:marTop w:val="0"/>
      <w:marBottom w:val="0"/>
      <w:divBdr>
        <w:top w:val="none" w:sz="0" w:space="0" w:color="auto"/>
        <w:left w:val="none" w:sz="0" w:space="0" w:color="auto"/>
        <w:bottom w:val="none" w:sz="0" w:space="0" w:color="auto"/>
        <w:right w:val="none" w:sz="0" w:space="0" w:color="auto"/>
      </w:divBdr>
    </w:div>
    <w:div w:id="1129664022">
      <w:bodyDiv w:val="1"/>
      <w:marLeft w:val="0"/>
      <w:marRight w:val="0"/>
      <w:marTop w:val="0"/>
      <w:marBottom w:val="0"/>
      <w:divBdr>
        <w:top w:val="none" w:sz="0" w:space="0" w:color="auto"/>
        <w:left w:val="none" w:sz="0" w:space="0" w:color="auto"/>
        <w:bottom w:val="none" w:sz="0" w:space="0" w:color="auto"/>
        <w:right w:val="none" w:sz="0" w:space="0" w:color="auto"/>
      </w:divBdr>
    </w:div>
    <w:div w:id="1165632511">
      <w:bodyDiv w:val="1"/>
      <w:marLeft w:val="0"/>
      <w:marRight w:val="0"/>
      <w:marTop w:val="0"/>
      <w:marBottom w:val="0"/>
      <w:divBdr>
        <w:top w:val="none" w:sz="0" w:space="0" w:color="auto"/>
        <w:left w:val="none" w:sz="0" w:space="0" w:color="auto"/>
        <w:bottom w:val="none" w:sz="0" w:space="0" w:color="auto"/>
        <w:right w:val="none" w:sz="0" w:space="0" w:color="auto"/>
      </w:divBdr>
    </w:div>
    <w:div w:id="1180506053">
      <w:bodyDiv w:val="1"/>
      <w:marLeft w:val="0"/>
      <w:marRight w:val="0"/>
      <w:marTop w:val="0"/>
      <w:marBottom w:val="0"/>
      <w:divBdr>
        <w:top w:val="none" w:sz="0" w:space="0" w:color="auto"/>
        <w:left w:val="none" w:sz="0" w:space="0" w:color="auto"/>
        <w:bottom w:val="none" w:sz="0" w:space="0" w:color="auto"/>
        <w:right w:val="none" w:sz="0" w:space="0" w:color="auto"/>
      </w:divBdr>
    </w:div>
    <w:div w:id="1180584429">
      <w:bodyDiv w:val="1"/>
      <w:marLeft w:val="0"/>
      <w:marRight w:val="0"/>
      <w:marTop w:val="0"/>
      <w:marBottom w:val="0"/>
      <w:divBdr>
        <w:top w:val="none" w:sz="0" w:space="0" w:color="auto"/>
        <w:left w:val="none" w:sz="0" w:space="0" w:color="auto"/>
        <w:bottom w:val="none" w:sz="0" w:space="0" w:color="auto"/>
        <w:right w:val="none" w:sz="0" w:space="0" w:color="auto"/>
      </w:divBdr>
    </w:div>
    <w:div w:id="1185368292">
      <w:bodyDiv w:val="1"/>
      <w:marLeft w:val="0"/>
      <w:marRight w:val="0"/>
      <w:marTop w:val="0"/>
      <w:marBottom w:val="0"/>
      <w:divBdr>
        <w:top w:val="none" w:sz="0" w:space="0" w:color="auto"/>
        <w:left w:val="none" w:sz="0" w:space="0" w:color="auto"/>
        <w:bottom w:val="none" w:sz="0" w:space="0" w:color="auto"/>
        <w:right w:val="none" w:sz="0" w:space="0" w:color="auto"/>
      </w:divBdr>
    </w:div>
    <w:div w:id="1211070983">
      <w:bodyDiv w:val="1"/>
      <w:marLeft w:val="0"/>
      <w:marRight w:val="0"/>
      <w:marTop w:val="0"/>
      <w:marBottom w:val="0"/>
      <w:divBdr>
        <w:top w:val="none" w:sz="0" w:space="0" w:color="auto"/>
        <w:left w:val="none" w:sz="0" w:space="0" w:color="auto"/>
        <w:bottom w:val="none" w:sz="0" w:space="0" w:color="auto"/>
        <w:right w:val="none" w:sz="0" w:space="0" w:color="auto"/>
      </w:divBdr>
    </w:div>
    <w:div w:id="1321664536">
      <w:bodyDiv w:val="1"/>
      <w:marLeft w:val="0"/>
      <w:marRight w:val="0"/>
      <w:marTop w:val="0"/>
      <w:marBottom w:val="0"/>
      <w:divBdr>
        <w:top w:val="none" w:sz="0" w:space="0" w:color="auto"/>
        <w:left w:val="none" w:sz="0" w:space="0" w:color="auto"/>
        <w:bottom w:val="none" w:sz="0" w:space="0" w:color="auto"/>
        <w:right w:val="none" w:sz="0" w:space="0" w:color="auto"/>
      </w:divBdr>
    </w:div>
    <w:div w:id="1345741049">
      <w:bodyDiv w:val="1"/>
      <w:marLeft w:val="0"/>
      <w:marRight w:val="0"/>
      <w:marTop w:val="0"/>
      <w:marBottom w:val="0"/>
      <w:divBdr>
        <w:top w:val="none" w:sz="0" w:space="0" w:color="auto"/>
        <w:left w:val="none" w:sz="0" w:space="0" w:color="auto"/>
        <w:bottom w:val="none" w:sz="0" w:space="0" w:color="auto"/>
        <w:right w:val="none" w:sz="0" w:space="0" w:color="auto"/>
      </w:divBdr>
    </w:div>
    <w:div w:id="1456411406">
      <w:bodyDiv w:val="1"/>
      <w:marLeft w:val="0"/>
      <w:marRight w:val="0"/>
      <w:marTop w:val="0"/>
      <w:marBottom w:val="0"/>
      <w:divBdr>
        <w:top w:val="none" w:sz="0" w:space="0" w:color="auto"/>
        <w:left w:val="none" w:sz="0" w:space="0" w:color="auto"/>
        <w:bottom w:val="none" w:sz="0" w:space="0" w:color="auto"/>
        <w:right w:val="none" w:sz="0" w:space="0" w:color="auto"/>
      </w:divBdr>
    </w:div>
    <w:div w:id="1464036724">
      <w:bodyDiv w:val="1"/>
      <w:marLeft w:val="0"/>
      <w:marRight w:val="0"/>
      <w:marTop w:val="0"/>
      <w:marBottom w:val="0"/>
      <w:divBdr>
        <w:top w:val="none" w:sz="0" w:space="0" w:color="auto"/>
        <w:left w:val="none" w:sz="0" w:space="0" w:color="auto"/>
        <w:bottom w:val="none" w:sz="0" w:space="0" w:color="auto"/>
        <w:right w:val="none" w:sz="0" w:space="0" w:color="auto"/>
      </w:divBdr>
    </w:div>
    <w:div w:id="1492285778">
      <w:bodyDiv w:val="1"/>
      <w:marLeft w:val="0"/>
      <w:marRight w:val="0"/>
      <w:marTop w:val="0"/>
      <w:marBottom w:val="0"/>
      <w:divBdr>
        <w:top w:val="none" w:sz="0" w:space="0" w:color="auto"/>
        <w:left w:val="none" w:sz="0" w:space="0" w:color="auto"/>
        <w:bottom w:val="none" w:sz="0" w:space="0" w:color="auto"/>
        <w:right w:val="none" w:sz="0" w:space="0" w:color="auto"/>
      </w:divBdr>
    </w:div>
    <w:div w:id="1516646712">
      <w:bodyDiv w:val="1"/>
      <w:marLeft w:val="0"/>
      <w:marRight w:val="0"/>
      <w:marTop w:val="0"/>
      <w:marBottom w:val="0"/>
      <w:divBdr>
        <w:top w:val="none" w:sz="0" w:space="0" w:color="auto"/>
        <w:left w:val="none" w:sz="0" w:space="0" w:color="auto"/>
        <w:bottom w:val="none" w:sz="0" w:space="0" w:color="auto"/>
        <w:right w:val="none" w:sz="0" w:space="0" w:color="auto"/>
      </w:divBdr>
    </w:div>
    <w:div w:id="1525678753">
      <w:bodyDiv w:val="1"/>
      <w:marLeft w:val="0"/>
      <w:marRight w:val="0"/>
      <w:marTop w:val="0"/>
      <w:marBottom w:val="0"/>
      <w:divBdr>
        <w:top w:val="none" w:sz="0" w:space="0" w:color="auto"/>
        <w:left w:val="none" w:sz="0" w:space="0" w:color="auto"/>
        <w:bottom w:val="none" w:sz="0" w:space="0" w:color="auto"/>
        <w:right w:val="none" w:sz="0" w:space="0" w:color="auto"/>
      </w:divBdr>
    </w:div>
    <w:div w:id="1563783679">
      <w:bodyDiv w:val="1"/>
      <w:marLeft w:val="0"/>
      <w:marRight w:val="0"/>
      <w:marTop w:val="0"/>
      <w:marBottom w:val="0"/>
      <w:divBdr>
        <w:top w:val="none" w:sz="0" w:space="0" w:color="auto"/>
        <w:left w:val="none" w:sz="0" w:space="0" w:color="auto"/>
        <w:bottom w:val="none" w:sz="0" w:space="0" w:color="auto"/>
        <w:right w:val="none" w:sz="0" w:space="0" w:color="auto"/>
      </w:divBdr>
    </w:div>
    <w:div w:id="1649358332">
      <w:bodyDiv w:val="1"/>
      <w:marLeft w:val="0"/>
      <w:marRight w:val="0"/>
      <w:marTop w:val="0"/>
      <w:marBottom w:val="0"/>
      <w:divBdr>
        <w:top w:val="none" w:sz="0" w:space="0" w:color="auto"/>
        <w:left w:val="none" w:sz="0" w:space="0" w:color="auto"/>
        <w:bottom w:val="none" w:sz="0" w:space="0" w:color="auto"/>
        <w:right w:val="none" w:sz="0" w:space="0" w:color="auto"/>
      </w:divBdr>
    </w:div>
    <w:div w:id="1670332842">
      <w:bodyDiv w:val="1"/>
      <w:marLeft w:val="0"/>
      <w:marRight w:val="0"/>
      <w:marTop w:val="0"/>
      <w:marBottom w:val="0"/>
      <w:divBdr>
        <w:top w:val="none" w:sz="0" w:space="0" w:color="auto"/>
        <w:left w:val="none" w:sz="0" w:space="0" w:color="auto"/>
        <w:bottom w:val="none" w:sz="0" w:space="0" w:color="auto"/>
        <w:right w:val="none" w:sz="0" w:space="0" w:color="auto"/>
      </w:divBdr>
    </w:div>
    <w:div w:id="1675377107">
      <w:bodyDiv w:val="1"/>
      <w:marLeft w:val="0"/>
      <w:marRight w:val="0"/>
      <w:marTop w:val="0"/>
      <w:marBottom w:val="0"/>
      <w:divBdr>
        <w:top w:val="none" w:sz="0" w:space="0" w:color="auto"/>
        <w:left w:val="none" w:sz="0" w:space="0" w:color="auto"/>
        <w:bottom w:val="none" w:sz="0" w:space="0" w:color="auto"/>
        <w:right w:val="none" w:sz="0" w:space="0" w:color="auto"/>
      </w:divBdr>
    </w:div>
    <w:div w:id="1685745243">
      <w:bodyDiv w:val="1"/>
      <w:marLeft w:val="0"/>
      <w:marRight w:val="0"/>
      <w:marTop w:val="0"/>
      <w:marBottom w:val="0"/>
      <w:divBdr>
        <w:top w:val="none" w:sz="0" w:space="0" w:color="auto"/>
        <w:left w:val="none" w:sz="0" w:space="0" w:color="auto"/>
        <w:bottom w:val="none" w:sz="0" w:space="0" w:color="auto"/>
        <w:right w:val="none" w:sz="0" w:space="0" w:color="auto"/>
      </w:divBdr>
    </w:div>
    <w:div w:id="1705668722">
      <w:bodyDiv w:val="1"/>
      <w:marLeft w:val="0"/>
      <w:marRight w:val="0"/>
      <w:marTop w:val="0"/>
      <w:marBottom w:val="0"/>
      <w:divBdr>
        <w:top w:val="none" w:sz="0" w:space="0" w:color="auto"/>
        <w:left w:val="none" w:sz="0" w:space="0" w:color="auto"/>
        <w:bottom w:val="none" w:sz="0" w:space="0" w:color="auto"/>
        <w:right w:val="none" w:sz="0" w:space="0" w:color="auto"/>
      </w:divBdr>
    </w:div>
    <w:div w:id="1764762042">
      <w:bodyDiv w:val="1"/>
      <w:marLeft w:val="0"/>
      <w:marRight w:val="0"/>
      <w:marTop w:val="0"/>
      <w:marBottom w:val="0"/>
      <w:divBdr>
        <w:top w:val="none" w:sz="0" w:space="0" w:color="auto"/>
        <w:left w:val="none" w:sz="0" w:space="0" w:color="auto"/>
        <w:bottom w:val="none" w:sz="0" w:space="0" w:color="auto"/>
        <w:right w:val="none" w:sz="0" w:space="0" w:color="auto"/>
      </w:divBdr>
    </w:div>
    <w:div w:id="1796754615">
      <w:bodyDiv w:val="1"/>
      <w:marLeft w:val="0"/>
      <w:marRight w:val="0"/>
      <w:marTop w:val="0"/>
      <w:marBottom w:val="0"/>
      <w:divBdr>
        <w:top w:val="none" w:sz="0" w:space="0" w:color="auto"/>
        <w:left w:val="none" w:sz="0" w:space="0" w:color="auto"/>
        <w:bottom w:val="none" w:sz="0" w:space="0" w:color="auto"/>
        <w:right w:val="none" w:sz="0" w:space="0" w:color="auto"/>
      </w:divBdr>
    </w:div>
    <w:div w:id="1814178482">
      <w:bodyDiv w:val="1"/>
      <w:marLeft w:val="0"/>
      <w:marRight w:val="0"/>
      <w:marTop w:val="0"/>
      <w:marBottom w:val="0"/>
      <w:divBdr>
        <w:top w:val="none" w:sz="0" w:space="0" w:color="auto"/>
        <w:left w:val="none" w:sz="0" w:space="0" w:color="auto"/>
        <w:bottom w:val="none" w:sz="0" w:space="0" w:color="auto"/>
        <w:right w:val="none" w:sz="0" w:space="0" w:color="auto"/>
      </w:divBdr>
    </w:div>
    <w:div w:id="1844781065">
      <w:bodyDiv w:val="1"/>
      <w:marLeft w:val="0"/>
      <w:marRight w:val="0"/>
      <w:marTop w:val="0"/>
      <w:marBottom w:val="0"/>
      <w:divBdr>
        <w:top w:val="none" w:sz="0" w:space="0" w:color="auto"/>
        <w:left w:val="none" w:sz="0" w:space="0" w:color="auto"/>
        <w:bottom w:val="none" w:sz="0" w:space="0" w:color="auto"/>
        <w:right w:val="none" w:sz="0" w:space="0" w:color="auto"/>
      </w:divBdr>
    </w:div>
    <w:div w:id="1858619038">
      <w:bodyDiv w:val="1"/>
      <w:marLeft w:val="0"/>
      <w:marRight w:val="0"/>
      <w:marTop w:val="0"/>
      <w:marBottom w:val="0"/>
      <w:divBdr>
        <w:top w:val="none" w:sz="0" w:space="0" w:color="auto"/>
        <w:left w:val="none" w:sz="0" w:space="0" w:color="auto"/>
        <w:bottom w:val="none" w:sz="0" w:space="0" w:color="auto"/>
        <w:right w:val="none" w:sz="0" w:space="0" w:color="auto"/>
      </w:divBdr>
    </w:div>
    <w:div w:id="1866625987">
      <w:bodyDiv w:val="1"/>
      <w:marLeft w:val="0"/>
      <w:marRight w:val="0"/>
      <w:marTop w:val="0"/>
      <w:marBottom w:val="0"/>
      <w:divBdr>
        <w:top w:val="none" w:sz="0" w:space="0" w:color="auto"/>
        <w:left w:val="none" w:sz="0" w:space="0" w:color="auto"/>
        <w:bottom w:val="none" w:sz="0" w:space="0" w:color="auto"/>
        <w:right w:val="none" w:sz="0" w:space="0" w:color="auto"/>
      </w:divBdr>
    </w:div>
    <w:div w:id="1897857438">
      <w:bodyDiv w:val="1"/>
      <w:marLeft w:val="0"/>
      <w:marRight w:val="0"/>
      <w:marTop w:val="0"/>
      <w:marBottom w:val="0"/>
      <w:divBdr>
        <w:top w:val="none" w:sz="0" w:space="0" w:color="auto"/>
        <w:left w:val="none" w:sz="0" w:space="0" w:color="auto"/>
        <w:bottom w:val="none" w:sz="0" w:space="0" w:color="auto"/>
        <w:right w:val="none" w:sz="0" w:space="0" w:color="auto"/>
      </w:divBdr>
    </w:div>
    <w:div w:id="1905793632">
      <w:bodyDiv w:val="1"/>
      <w:marLeft w:val="0"/>
      <w:marRight w:val="0"/>
      <w:marTop w:val="0"/>
      <w:marBottom w:val="0"/>
      <w:divBdr>
        <w:top w:val="none" w:sz="0" w:space="0" w:color="auto"/>
        <w:left w:val="none" w:sz="0" w:space="0" w:color="auto"/>
        <w:bottom w:val="none" w:sz="0" w:space="0" w:color="auto"/>
        <w:right w:val="none" w:sz="0" w:space="0" w:color="auto"/>
      </w:divBdr>
    </w:div>
    <w:div w:id="1921864749">
      <w:bodyDiv w:val="1"/>
      <w:marLeft w:val="0"/>
      <w:marRight w:val="0"/>
      <w:marTop w:val="0"/>
      <w:marBottom w:val="0"/>
      <w:divBdr>
        <w:top w:val="none" w:sz="0" w:space="0" w:color="auto"/>
        <w:left w:val="none" w:sz="0" w:space="0" w:color="auto"/>
        <w:bottom w:val="none" w:sz="0" w:space="0" w:color="auto"/>
        <w:right w:val="none" w:sz="0" w:space="0" w:color="auto"/>
      </w:divBdr>
    </w:div>
    <w:div w:id="1973486946">
      <w:bodyDiv w:val="1"/>
      <w:marLeft w:val="0"/>
      <w:marRight w:val="0"/>
      <w:marTop w:val="0"/>
      <w:marBottom w:val="0"/>
      <w:divBdr>
        <w:top w:val="none" w:sz="0" w:space="0" w:color="auto"/>
        <w:left w:val="none" w:sz="0" w:space="0" w:color="auto"/>
        <w:bottom w:val="none" w:sz="0" w:space="0" w:color="auto"/>
        <w:right w:val="none" w:sz="0" w:space="0" w:color="auto"/>
      </w:divBdr>
    </w:div>
    <w:div w:id="1975014497">
      <w:bodyDiv w:val="1"/>
      <w:marLeft w:val="0"/>
      <w:marRight w:val="0"/>
      <w:marTop w:val="0"/>
      <w:marBottom w:val="0"/>
      <w:divBdr>
        <w:top w:val="none" w:sz="0" w:space="0" w:color="auto"/>
        <w:left w:val="none" w:sz="0" w:space="0" w:color="auto"/>
        <w:bottom w:val="none" w:sz="0" w:space="0" w:color="auto"/>
        <w:right w:val="none" w:sz="0" w:space="0" w:color="auto"/>
      </w:divBdr>
    </w:div>
    <w:div w:id="1981616203">
      <w:bodyDiv w:val="1"/>
      <w:marLeft w:val="0"/>
      <w:marRight w:val="0"/>
      <w:marTop w:val="0"/>
      <w:marBottom w:val="0"/>
      <w:divBdr>
        <w:top w:val="none" w:sz="0" w:space="0" w:color="auto"/>
        <w:left w:val="none" w:sz="0" w:space="0" w:color="auto"/>
        <w:bottom w:val="none" w:sz="0" w:space="0" w:color="auto"/>
        <w:right w:val="none" w:sz="0" w:space="0" w:color="auto"/>
      </w:divBdr>
    </w:div>
    <w:div w:id="1984921553">
      <w:bodyDiv w:val="1"/>
      <w:marLeft w:val="0"/>
      <w:marRight w:val="0"/>
      <w:marTop w:val="0"/>
      <w:marBottom w:val="0"/>
      <w:divBdr>
        <w:top w:val="none" w:sz="0" w:space="0" w:color="auto"/>
        <w:left w:val="none" w:sz="0" w:space="0" w:color="auto"/>
        <w:bottom w:val="none" w:sz="0" w:space="0" w:color="auto"/>
        <w:right w:val="none" w:sz="0" w:space="0" w:color="auto"/>
      </w:divBdr>
    </w:div>
    <w:div w:id="2024015635">
      <w:bodyDiv w:val="1"/>
      <w:marLeft w:val="0"/>
      <w:marRight w:val="0"/>
      <w:marTop w:val="0"/>
      <w:marBottom w:val="0"/>
      <w:divBdr>
        <w:top w:val="none" w:sz="0" w:space="0" w:color="auto"/>
        <w:left w:val="none" w:sz="0" w:space="0" w:color="auto"/>
        <w:bottom w:val="none" w:sz="0" w:space="0" w:color="auto"/>
        <w:right w:val="none" w:sz="0" w:space="0" w:color="auto"/>
      </w:divBdr>
    </w:div>
    <w:div w:id="2056081467">
      <w:bodyDiv w:val="1"/>
      <w:marLeft w:val="0"/>
      <w:marRight w:val="0"/>
      <w:marTop w:val="0"/>
      <w:marBottom w:val="0"/>
      <w:divBdr>
        <w:top w:val="none" w:sz="0" w:space="0" w:color="auto"/>
        <w:left w:val="none" w:sz="0" w:space="0" w:color="auto"/>
        <w:bottom w:val="none" w:sz="0" w:space="0" w:color="auto"/>
        <w:right w:val="none" w:sz="0" w:space="0" w:color="auto"/>
      </w:divBdr>
    </w:div>
    <w:div w:id="2057119700">
      <w:bodyDiv w:val="1"/>
      <w:marLeft w:val="0"/>
      <w:marRight w:val="0"/>
      <w:marTop w:val="0"/>
      <w:marBottom w:val="0"/>
      <w:divBdr>
        <w:top w:val="none" w:sz="0" w:space="0" w:color="auto"/>
        <w:left w:val="none" w:sz="0" w:space="0" w:color="auto"/>
        <w:bottom w:val="none" w:sz="0" w:space="0" w:color="auto"/>
        <w:right w:val="none" w:sz="0" w:space="0" w:color="auto"/>
      </w:divBdr>
    </w:div>
    <w:div w:id="2085371928">
      <w:bodyDiv w:val="1"/>
      <w:marLeft w:val="0"/>
      <w:marRight w:val="0"/>
      <w:marTop w:val="0"/>
      <w:marBottom w:val="0"/>
      <w:divBdr>
        <w:top w:val="none" w:sz="0" w:space="0" w:color="auto"/>
        <w:left w:val="none" w:sz="0" w:space="0" w:color="auto"/>
        <w:bottom w:val="none" w:sz="0" w:space="0" w:color="auto"/>
        <w:right w:val="none" w:sz="0" w:space="0" w:color="auto"/>
      </w:divBdr>
    </w:div>
    <w:div w:id="214442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8DE70-F65C-46B8-899C-8F264F018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1117</TotalTime>
  <Pages>1</Pages>
  <Words>1090</Words>
  <Characters>6216</Characters>
  <Application>Microsoft Office Word</Application>
  <DocSecurity>8</DocSecurity>
  <Lines>51</Lines>
  <Paragraphs>14</Paragraphs>
  <ScaleCrop>false</ScaleCrop>
  <Company>微软中国</Company>
  <LinksUpToDate>false</LinksUpToDate>
  <CharactersWithSpaces>7292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陈浩01</dc:creator>
  <cp:keywords/>
  <dc:description/>
  <cp:lastModifiedBy>陈浩01</cp:lastModifiedBy>
  <cp:revision>12</cp:revision>
  <dcterms:created xsi:type="dcterms:W3CDTF">2014-11-26T09:59:00Z</dcterms:created>
  <dcterms:modified xsi:type="dcterms:W3CDTF">2019-01-28T09:28:00Z</dcterms:modified>
</cp:coreProperties>
</file>