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2CD5" w:rsidRDefault="00C528B1">
      <w:pPr>
        <w:spacing w:line="372" w:lineRule="auto"/>
        <w:jc w:val="center"/>
        <w:rPr>
          <w:rFonts w:ascii="黑体" w:eastAsia="黑体"/>
          <w:sz w:val="30"/>
          <w:szCs w:val="30"/>
        </w:rPr>
      </w:pPr>
      <w:r>
        <w:rPr>
          <w:rFonts w:ascii="黑体" w:eastAsia="黑体" w:hint="eastAsia"/>
          <w:sz w:val="30"/>
          <w:szCs w:val="30"/>
        </w:rPr>
        <w:t>温州银行“金鹿理财-普惠盈周”</w:t>
      </w:r>
      <w:r>
        <w:rPr>
          <w:rFonts w:ascii="黑体" w:eastAsia="黑体" w:hint="eastAsia"/>
          <w:sz w:val="30"/>
          <w:szCs w:val="30"/>
          <w:u w:val="single"/>
        </w:rPr>
        <w:t>1</w:t>
      </w:r>
      <w:r>
        <w:rPr>
          <w:rFonts w:ascii="黑体" w:eastAsia="黑体" w:hint="eastAsia"/>
          <w:sz w:val="30"/>
          <w:szCs w:val="30"/>
        </w:rPr>
        <w:t>号</w:t>
      </w:r>
    </w:p>
    <w:p w:rsidR="00562CD5" w:rsidRDefault="00C528B1">
      <w:pPr>
        <w:spacing w:line="372" w:lineRule="auto"/>
        <w:jc w:val="center"/>
        <w:rPr>
          <w:rFonts w:ascii="宋体" w:hAnsi="宋体"/>
          <w:sz w:val="30"/>
          <w:szCs w:val="30"/>
        </w:rPr>
      </w:pPr>
      <w:r>
        <w:rPr>
          <w:rFonts w:ascii="黑体" w:eastAsia="黑体" w:hint="eastAsia"/>
          <w:sz w:val="30"/>
          <w:szCs w:val="30"/>
        </w:rPr>
        <w:t>开放式净值型银行理财计划风险揭示书</w:t>
      </w:r>
    </w:p>
    <w:p w:rsidR="00562CD5" w:rsidRDefault="00C528B1">
      <w:pPr>
        <w:adjustRightInd w:val="0"/>
        <w:snapToGrid w:val="0"/>
        <w:spacing w:before="240" w:line="322" w:lineRule="auto"/>
        <w:rPr>
          <w:rFonts w:ascii="宋体" w:hAnsi="宋体"/>
          <w:b/>
          <w:szCs w:val="21"/>
        </w:rPr>
      </w:pPr>
      <w:r>
        <w:rPr>
          <w:rFonts w:ascii="宋体" w:hAnsi="宋体" w:hint="eastAsia"/>
          <w:b/>
          <w:szCs w:val="21"/>
        </w:rPr>
        <w:t>尊敬的客户：</w:t>
      </w:r>
    </w:p>
    <w:p w:rsidR="00562CD5" w:rsidRDefault="00C528B1">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ascii="宋体" w:hAnsi="宋体" w:hint="eastAsia"/>
          <w:szCs w:val="21"/>
        </w:rPr>
        <w:t>，请在购买该理财产品前特别注意以下事项：</w:t>
      </w:r>
    </w:p>
    <w:p w:rsidR="00562CD5" w:rsidRDefault="00C528B1">
      <w:pPr>
        <w:adjustRightInd w:val="0"/>
        <w:snapToGrid w:val="0"/>
        <w:spacing w:line="319" w:lineRule="auto"/>
        <w:ind w:firstLine="420"/>
        <w:rPr>
          <w:rFonts w:ascii="宋体" w:hAnsi="宋体"/>
          <w:szCs w:val="21"/>
        </w:rPr>
      </w:pPr>
      <w:r>
        <w:rPr>
          <w:rFonts w:ascii="宋体" w:hAnsi="宋体" w:hint="eastAsia"/>
          <w:szCs w:val="21"/>
        </w:rPr>
        <w:t>一、</w:t>
      </w:r>
      <w:r>
        <w:rPr>
          <w:rFonts w:hint="eastAsia"/>
          <w:szCs w:val="21"/>
        </w:rPr>
        <w:t>您将</w:t>
      </w:r>
      <w:r>
        <w:rPr>
          <w:rFonts w:ascii="宋体" w:hAnsi="宋体" w:hint="eastAsia"/>
          <w:szCs w:val="21"/>
        </w:rPr>
        <w:t>购买</w:t>
      </w:r>
      <w:r>
        <w:rPr>
          <w:rFonts w:hint="eastAsia"/>
          <w:szCs w:val="21"/>
        </w:rPr>
        <w:t>的温州银行“金鹿理财</w:t>
      </w:r>
      <w:r>
        <w:rPr>
          <w:rFonts w:ascii="宋体" w:hAnsi="宋体" w:hint="eastAsia"/>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，在产品存续期内不定期（法定工作日）开放资金认购、申购及赎回。根据温</w:t>
      </w:r>
      <w:r>
        <w:rPr>
          <w:rFonts w:ascii="宋体" w:hAnsi="宋体" w:hint="eastAsia"/>
          <w:szCs w:val="21"/>
        </w:rPr>
        <w:t>州银行内部风险评级标准，该产品的风险等级为</w:t>
      </w:r>
      <w:r>
        <w:rPr>
          <w:rFonts w:ascii="宋体" w:hAnsi="宋体" w:hint="eastAsia"/>
          <w:szCs w:val="21"/>
          <w:u w:val="single"/>
        </w:rPr>
        <w:t>PR2级</w:t>
      </w:r>
      <w:r>
        <w:rPr>
          <w:rFonts w:ascii="宋体" w:hAnsi="宋体" w:hint="eastAsia"/>
          <w:szCs w:val="21"/>
        </w:rPr>
        <w:t>（稳健型）：总体风险程度较低，温州银行不承诺本金保障但本金损失可能性很小，产品收益随投资表现变动。本理财产品适合客户：经温州银行评估为稳健型、平衡型、进取型、激进型的个人投资者。如影响您风险承受能力的因素发生变化，请在购买前及时重新</w:t>
      </w:r>
      <w:bookmarkStart w:id="0" w:name="_GoBack"/>
      <w:bookmarkEnd w:id="0"/>
      <w:r>
        <w:rPr>
          <w:rFonts w:ascii="宋体" w:hAnsi="宋体" w:hint="eastAsia"/>
          <w:szCs w:val="21"/>
        </w:rPr>
        <w:t>完成风险承受能力评估。</w:t>
      </w:r>
    </w:p>
    <w:p w:rsidR="00562CD5" w:rsidRDefault="00C528B1">
      <w:pPr>
        <w:adjustRightInd w:val="0"/>
        <w:snapToGrid w:val="0"/>
        <w:spacing w:line="319" w:lineRule="auto"/>
        <w:ind w:firstLine="420"/>
        <w:rPr>
          <w:rFonts w:ascii="宋体" w:hAnsi="宋体"/>
          <w:szCs w:val="21"/>
        </w:rPr>
      </w:pPr>
      <w:r>
        <w:rPr>
          <w:rFonts w:ascii="宋体" w:hAnsi="宋体" w:hint="eastAsia"/>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ascii="宋体" w:hAnsi="宋体" w:hint="eastAsia"/>
          <w:szCs w:val="21"/>
        </w:rPr>
        <w:t>等，在极端市场情况下，若在产品赎回清算日（或到期终止日）发生投资组合项下投资标的完全损失的最不利情况，投资者将损失全部本金。</w:t>
      </w:r>
    </w:p>
    <w:p w:rsidR="00562CD5" w:rsidRDefault="00C528B1">
      <w:pPr>
        <w:adjustRightInd w:val="0"/>
        <w:snapToGrid w:val="0"/>
        <w:spacing w:line="319" w:lineRule="auto"/>
        <w:ind w:firstLine="420"/>
        <w:rPr>
          <w:rFonts w:ascii="宋体" w:hAnsi="宋体"/>
          <w:szCs w:val="21"/>
        </w:rPr>
      </w:pPr>
      <w:r>
        <w:rPr>
          <w:rFonts w:ascii="宋体" w:hAnsi="宋体" w:hint="eastAsia"/>
          <w:szCs w:val="21"/>
        </w:rPr>
        <w:t>根据温州银行对本产品的内部风险评级结果，理财本金因市场变动而蒙受损失的概率较低，您应充分认识投资风险，谨慎投资。</w:t>
      </w:r>
    </w:p>
    <w:p w:rsidR="00562CD5" w:rsidRDefault="00C528B1">
      <w:pPr>
        <w:adjustRightInd w:val="0"/>
        <w:snapToGrid w:val="0"/>
        <w:spacing w:line="319" w:lineRule="auto"/>
        <w:ind w:firstLine="420"/>
        <w:rPr>
          <w:rFonts w:ascii="宋体" w:hAnsi="宋体"/>
          <w:szCs w:val="21"/>
        </w:rPr>
      </w:pPr>
      <w:r>
        <w:rPr>
          <w:rFonts w:ascii="宋体" w:hAnsi="宋体" w:hint="eastAsia"/>
          <w:szCs w:val="21"/>
        </w:rPr>
        <w:t>三、在您签约购买本理财产品前，应当仔细阅读本风险揭示书、《温州银行“金鹿理财”银行理财计划合约》、《温州银行“金鹿理财-普惠盈周”1号开放式净值型银行理财计划产品说明书》、《</w:t>
      </w:r>
      <w:r>
        <w:rPr>
          <w:rFonts w:ascii="宋体" w:hAnsi="宋体"/>
          <w:szCs w:val="21"/>
        </w:rPr>
        <w:t>温州银行理财产品投资者权益须知</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562CD5" w:rsidRDefault="00C528B1">
      <w:pPr>
        <w:adjustRightInd w:val="0"/>
        <w:snapToGrid w:val="0"/>
        <w:spacing w:line="319" w:lineRule="auto"/>
        <w:ind w:firstLine="420"/>
        <w:rPr>
          <w:rFonts w:ascii="宋体" w:hAnsi="宋体"/>
          <w:szCs w:val="21"/>
        </w:rPr>
      </w:pPr>
      <w:r>
        <w:rPr>
          <w:rFonts w:ascii="宋体" w:hAnsi="宋体" w:hint="eastAsia"/>
          <w:szCs w:val="21"/>
        </w:rPr>
        <w:t>您对本风险揭示书、理财合约和产品说明书的签署，将表明您已了解购买本期理财产品可能存在的风险，且表明您已认真阅读并理解所有的合约文件，并愿意受上述法律文件的约束并依法承担相应的理财投资风险，您购买本期理财产品，并由温州银行将理财资金运用于理财合约和产品说明书约定投资标的，是您的真实意思表示。</w:t>
      </w:r>
    </w:p>
    <w:p w:rsidR="00562CD5" w:rsidRDefault="00C528B1">
      <w:pPr>
        <w:adjustRightInd w:val="0"/>
        <w:snapToGrid w:val="0"/>
        <w:spacing w:line="319" w:lineRule="auto"/>
        <w:ind w:firstLineChars="2700" w:firstLine="5670"/>
        <w:rPr>
          <w:rFonts w:ascii="宋体" w:hAnsi="宋体"/>
          <w:szCs w:val="21"/>
        </w:rPr>
      </w:pPr>
      <w:r>
        <w:rPr>
          <w:rFonts w:ascii="宋体" w:hAnsi="宋体" w:hint="eastAsia"/>
          <w:szCs w:val="21"/>
        </w:rPr>
        <w:t>风险揭示方：温州银行股份有限公司</w:t>
      </w:r>
    </w:p>
    <w:p w:rsidR="00562CD5" w:rsidRDefault="00C528B1">
      <w:pPr>
        <w:adjustRightInd w:val="0"/>
        <w:snapToGrid w:val="0"/>
        <w:spacing w:before="240" w:line="322" w:lineRule="auto"/>
        <w:jc w:val="center"/>
        <w:rPr>
          <w:rFonts w:ascii="宋体" w:hAnsi="宋体"/>
          <w:b/>
          <w:sz w:val="28"/>
          <w:szCs w:val="28"/>
        </w:rPr>
      </w:pPr>
      <w:r>
        <w:rPr>
          <w:rFonts w:ascii="宋体" w:hAnsi="宋体" w:hint="eastAsia"/>
          <w:b/>
          <w:sz w:val="28"/>
          <w:szCs w:val="28"/>
        </w:rPr>
        <w:t>客户确认栏</w:t>
      </w:r>
    </w:p>
    <w:p w:rsidR="00562CD5" w:rsidRDefault="00C528B1">
      <w:pPr>
        <w:adjustRightInd w:val="0"/>
        <w:snapToGrid w:val="0"/>
        <w:spacing w:line="322" w:lineRule="auto"/>
        <w:rPr>
          <w:b/>
          <w:szCs w:val="21"/>
        </w:rPr>
      </w:pPr>
      <w:r>
        <w:rPr>
          <w:rFonts w:hint="eastAsia"/>
          <w:b/>
          <w:szCs w:val="21"/>
        </w:rPr>
        <w:t>本人经温州银行评估的风险承受能力等级为（客户填写）：</w:t>
      </w:r>
    </w:p>
    <w:p w:rsidR="00562CD5" w:rsidRDefault="00C528B1">
      <w:pPr>
        <w:adjustRightInd w:val="0"/>
        <w:snapToGrid w:val="0"/>
        <w:spacing w:line="322" w:lineRule="auto"/>
        <w:ind w:firstLineChars="150" w:firstLine="315"/>
        <w:rPr>
          <w:rFonts w:ascii="宋体" w:hAnsi="宋体"/>
          <w:szCs w:val="21"/>
          <w:u w:val="single"/>
        </w:rPr>
      </w:pPr>
      <w:r>
        <w:rPr>
          <w:rFonts w:ascii="宋体" w:hAnsi="宋体" w:hint="eastAsia"/>
          <w:szCs w:val="21"/>
          <w:u w:val="single"/>
        </w:rPr>
        <w:t>□保守型           □稳健型           □平衡型           □进取型          □激进型</w:t>
      </w:r>
    </w:p>
    <w:p w:rsidR="00562CD5" w:rsidRDefault="00C528B1">
      <w:pPr>
        <w:adjustRightInd w:val="0"/>
        <w:snapToGrid w:val="0"/>
        <w:spacing w:line="322" w:lineRule="auto"/>
        <w:rPr>
          <w:rFonts w:ascii="宋体" w:hAnsi="宋体"/>
          <w:b/>
          <w:szCs w:val="21"/>
        </w:rPr>
      </w:pPr>
      <w:r>
        <w:rPr>
          <w:rFonts w:ascii="宋体" w:hAnsi="宋体" w:hint="eastAsia"/>
          <w:b/>
          <w:szCs w:val="21"/>
        </w:rPr>
        <w:t>本人同时确认如下：</w:t>
      </w:r>
      <w:r>
        <w:rPr>
          <w:rFonts w:ascii="宋体" w:hAnsi="宋体" w:hint="eastAsia"/>
          <w:b/>
          <w:szCs w:val="21"/>
          <w:u w:val="single"/>
        </w:rPr>
        <w:t xml:space="preserve">                                                                    </w:t>
      </w:r>
    </w:p>
    <w:p w:rsidR="00562CD5" w:rsidRDefault="00C528B1">
      <w:pPr>
        <w:adjustRightInd w:val="0"/>
        <w:snapToGrid w:val="0"/>
        <w:spacing w:line="322" w:lineRule="auto"/>
        <w:rPr>
          <w:b/>
          <w:szCs w:val="21"/>
        </w:rPr>
      </w:pPr>
      <w:r>
        <w:rPr>
          <w:rFonts w:hint="eastAsia"/>
          <w:b/>
          <w:szCs w:val="21"/>
          <w:u w:val="single"/>
        </w:rPr>
        <w:t xml:space="preserve">                                                                                 </w:t>
      </w:r>
      <w:r>
        <w:rPr>
          <w:rFonts w:hint="eastAsia"/>
          <w:szCs w:val="21"/>
        </w:rPr>
        <w:t>。</w:t>
      </w:r>
    </w:p>
    <w:p w:rsidR="00562CD5" w:rsidRDefault="00C528B1">
      <w:pPr>
        <w:adjustRightInd w:val="0"/>
        <w:snapToGrid w:val="0"/>
        <w:spacing w:line="32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rsidR="00562CD5" w:rsidRDefault="00C528B1">
      <w:pPr>
        <w:adjustRightInd w:val="0"/>
        <w:snapToGrid w:val="0"/>
        <w:spacing w:line="322" w:lineRule="auto"/>
        <w:jc w:val="center"/>
        <w:rPr>
          <w:rFonts w:ascii="宋体" w:hAnsi="宋体"/>
          <w:szCs w:val="21"/>
        </w:rPr>
      </w:pPr>
      <w:r>
        <w:rPr>
          <w:rFonts w:ascii="宋体" w:hAnsi="宋体" w:hint="eastAsia"/>
          <w:szCs w:val="21"/>
        </w:rPr>
        <w:t>确认人（签字）：                               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562CD5" w:rsidRDefault="00C528B1">
      <w:pPr>
        <w:adjustRightInd w:val="0"/>
        <w:snapToGrid w:val="0"/>
        <w:spacing w:line="322" w:lineRule="auto"/>
        <w:jc w:val="center"/>
        <w:rPr>
          <w:rFonts w:ascii="黑体" w:eastAsia="黑体"/>
          <w:sz w:val="30"/>
          <w:szCs w:val="30"/>
        </w:rPr>
      </w:pPr>
      <w:r>
        <w:rPr>
          <w:rFonts w:ascii="黑体" w:eastAsia="黑体"/>
          <w:sz w:val="30"/>
          <w:szCs w:val="30"/>
        </w:rPr>
        <w:br w:type="page"/>
      </w:r>
      <w:r>
        <w:rPr>
          <w:rFonts w:ascii="黑体" w:eastAsia="黑体" w:hint="eastAsia"/>
          <w:sz w:val="30"/>
          <w:szCs w:val="30"/>
        </w:rPr>
        <w:lastRenderedPageBreak/>
        <w:t>温州银行“金鹿理财-普惠盈周”</w:t>
      </w:r>
      <w:r>
        <w:rPr>
          <w:rFonts w:ascii="黑体" w:eastAsia="黑体" w:hint="eastAsia"/>
          <w:sz w:val="30"/>
          <w:szCs w:val="30"/>
          <w:u w:val="single"/>
        </w:rPr>
        <w:t>1</w:t>
      </w:r>
      <w:r>
        <w:rPr>
          <w:rFonts w:ascii="黑体" w:eastAsia="黑体" w:hint="eastAsia"/>
          <w:sz w:val="30"/>
          <w:szCs w:val="30"/>
        </w:rPr>
        <w:t>号</w:t>
      </w:r>
    </w:p>
    <w:p w:rsidR="00562CD5" w:rsidRDefault="00C528B1">
      <w:pPr>
        <w:spacing w:line="372" w:lineRule="auto"/>
        <w:jc w:val="center"/>
        <w:rPr>
          <w:rFonts w:ascii="黑体" w:eastAsia="黑体"/>
          <w:bCs/>
          <w:sz w:val="30"/>
          <w:szCs w:val="30"/>
        </w:rPr>
      </w:pPr>
      <w:r>
        <w:rPr>
          <w:rFonts w:ascii="黑体" w:eastAsia="黑体" w:hint="eastAsia"/>
          <w:sz w:val="30"/>
          <w:szCs w:val="30"/>
        </w:rPr>
        <w:t>开放式净值型</w:t>
      </w:r>
      <w:r>
        <w:rPr>
          <w:rFonts w:ascii="黑体" w:eastAsia="黑体" w:hint="eastAsia"/>
          <w:bCs/>
          <w:sz w:val="30"/>
          <w:szCs w:val="30"/>
        </w:rPr>
        <w:t>银行理财计划产品说明书</w:t>
      </w:r>
    </w:p>
    <w:p w:rsidR="00562CD5" w:rsidRDefault="00C528B1">
      <w:pPr>
        <w:adjustRightInd w:val="0"/>
        <w:snapToGrid w:val="0"/>
        <w:spacing w:before="120" w:line="288" w:lineRule="auto"/>
        <w:rPr>
          <w:b/>
          <w:sz w:val="18"/>
          <w:szCs w:val="18"/>
        </w:rPr>
      </w:pPr>
      <w:r>
        <w:rPr>
          <w:rFonts w:hint="eastAsia"/>
          <w:b/>
          <w:sz w:val="18"/>
          <w:szCs w:val="18"/>
        </w:rPr>
        <w:t>重要须知</w:t>
      </w:r>
    </w:p>
    <w:p w:rsidR="00562CD5" w:rsidRDefault="00C528B1">
      <w:pPr>
        <w:adjustRightInd w:val="0"/>
        <w:snapToGrid w:val="0"/>
        <w:spacing w:line="288" w:lineRule="auto"/>
        <w:rPr>
          <w:sz w:val="18"/>
          <w:szCs w:val="18"/>
        </w:rPr>
      </w:pPr>
      <w:r>
        <w:rPr>
          <w:rFonts w:hint="eastAsia"/>
          <w:sz w:val="18"/>
          <w:szCs w:val="18"/>
        </w:rPr>
        <w:t>本产品与银行存款存在明显区别，具有一定的风险。</w:t>
      </w:r>
    </w:p>
    <w:p w:rsidR="00562CD5" w:rsidRDefault="00C528B1">
      <w:pPr>
        <w:adjustRightInd w:val="0"/>
        <w:snapToGrid w:val="0"/>
        <w:spacing w:line="288" w:lineRule="auto"/>
        <w:rPr>
          <w:sz w:val="18"/>
          <w:szCs w:val="18"/>
        </w:rPr>
      </w:pPr>
      <w:r>
        <w:rPr>
          <w:rFonts w:hint="eastAsia"/>
          <w:sz w:val="18"/>
          <w:szCs w:val="18"/>
        </w:rPr>
        <w:t>本产品适合于无投资经验投资者和有投资经验投资者。</w:t>
      </w:r>
    </w:p>
    <w:p w:rsidR="00562CD5" w:rsidRDefault="00C528B1">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在产品赎回清算日（或到期终止日）发生投资组合项下投资标的完全损失的最不利情况，投资者将损失全部本金。温州银行对理财本金及收益不提供保证承诺，请投资者基于自身的独立判断进行投资决策。</w:t>
      </w:r>
    </w:p>
    <w:p w:rsidR="00562CD5" w:rsidRDefault="00C528B1">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rsidR="00562CD5" w:rsidRDefault="00C528B1">
      <w:pPr>
        <w:adjustRightInd w:val="0"/>
        <w:snapToGrid w:val="0"/>
        <w:spacing w:line="288"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购买决定。本说明书及投资者在温州银行签署的理财计划合约，将共同构成客户与发行银行之间的银行理财计划交易合同。</w:t>
      </w:r>
    </w:p>
    <w:p w:rsidR="00562CD5" w:rsidRDefault="00C528B1">
      <w:pPr>
        <w:adjustRightInd w:val="0"/>
        <w:snapToGrid w:val="0"/>
        <w:spacing w:line="288" w:lineRule="auto"/>
        <w:rPr>
          <w:sz w:val="18"/>
          <w:szCs w:val="18"/>
        </w:rPr>
      </w:pPr>
      <w:r>
        <w:rPr>
          <w:rFonts w:hint="eastAsia"/>
          <w:sz w:val="18"/>
          <w:szCs w:val="18"/>
        </w:rPr>
        <w:t>投资者在购买本产品后，应随时关注本产品的信息披露情况，及时获取相关信息。如对本产品有任何疑问、异议或意见，请联系温州银行客户经理或反馈至银行营业网点，也可致电银行客户服务热线（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rsidR="00562CD5" w:rsidRDefault="00C528B1">
      <w:pPr>
        <w:adjustRightInd w:val="0"/>
        <w:snapToGrid w:val="0"/>
        <w:spacing w:line="288" w:lineRule="auto"/>
        <w:rPr>
          <w:b/>
          <w:sz w:val="18"/>
          <w:szCs w:val="18"/>
        </w:rPr>
      </w:pPr>
      <w:r>
        <w:rPr>
          <w:rFonts w:hint="eastAsia"/>
          <w:b/>
          <w:sz w:val="18"/>
          <w:szCs w:val="18"/>
        </w:rPr>
        <w:t>释义</w:t>
      </w:r>
    </w:p>
    <w:p w:rsidR="00562CD5" w:rsidRDefault="00C528B1">
      <w:pPr>
        <w:adjustRightInd w:val="0"/>
        <w:snapToGrid w:val="0"/>
        <w:spacing w:line="288" w:lineRule="auto"/>
        <w:rPr>
          <w:sz w:val="18"/>
          <w:szCs w:val="18"/>
        </w:rPr>
      </w:pPr>
      <w:r>
        <w:rPr>
          <w:rFonts w:hint="eastAsia"/>
          <w:sz w:val="18"/>
          <w:szCs w:val="18"/>
        </w:rPr>
        <w:t>本说明书中，除非另有明确说明，否则下列词语或简称具有如下含义：</w:t>
      </w:r>
    </w:p>
    <w:p w:rsidR="00562CD5" w:rsidRDefault="00C528B1">
      <w:pPr>
        <w:adjustRightInd w:val="0"/>
        <w:snapToGrid w:val="0"/>
        <w:spacing w:line="288" w:lineRule="auto"/>
        <w:rPr>
          <w:sz w:val="18"/>
          <w:szCs w:val="18"/>
        </w:rPr>
      </w:pPr>
      <w:r>
        <w:rPr>
          <w:rFonts w:hint="eastAsia"/>
          <w:sz w:val="18"/>
          <w:szCs w:val="18"/>
        </w:rPr>
        <w:t>产品：指“金鹿理财</w:t>
      </w:r>
      <w:r>
        <w:rPr>
          <w:rFonts w:ascii="宋体" w:hAnsi="宋体" w:hint="eastAsia"/>
          <w:sz w:val="18"/>
          <w:szCs w:val="18"/>
        </w:rPr>
        <w:t>-</w:t>
      </w:r>
      <w:r>
        <w:rPr>
          <w:rFonts w:hint="eastAsia"/>
          <w:sz w:val="18"/>
          <w:szCs w:val="18"/>
        </w:rPr>
        <w:t>普惠盈周”</w:t>
      </w:r>
      <w:r>
        <w:rPr>
          <w:rFonts w:hint="eastAsia"/>
          <w:sz w:val="18"/>
          <w:szCs w:val="18"/>
        </w:rPr>
        <w:t>1</w:t>
      </w:r>
      <w:r>
        <w:rPr>
          <w:rFonts w:hint="eastAsia"/>
          <w:sz w:val="18"/>
          <w:szCs w:val="18"/>
        </w:rPr>
        <w:t>号开放式净值型银行理财计划</w:t>
      </w:r>
    </w:p>
    <w:p w:rsidR="00562CD5" w:rsidRDefault="00C528B1">
      <w:pPr>
        <w:adjustRightInd w:val="0"/>
        <w:snapToGrid w:val="0"/>
        <w:spacing w:line="288" w:lineRule="auto"/>
        <w:rPr>
          <w:sz w:val="18"/>
          <w:szCs w:val="18"/>
        </w:rPr>
      </w:pPr>
      <w:r>
        <w:rPr>
          <w:rFonts w:hint="eastAsia"/>
          <w:sz w:val="18"/>
          <w:szCs w:val="18"/>
        </w:rPr>
        <w:t>发行银行：指温州银行股份有限公司</w:t>
      </w:r>
    </w:p>
    <w:p w:rsidR="00562CD5" w:rsidRDefault="00C528B1">
      <w:pPr>
        <w:adjustRightInd w:val="0"/>
        <w:snapToGrid w:val="0"/>
        <w:spacing w:line="288" w:lineRule="auto"/>
        <w:rPr>
          <w:sz w:val="18"/>
          <w:szCs w:val="18"/>
        </w:rPr>
      </w:pPr>
      <w:r>
        <w:rPr>
          <w:rFonts w:hint="eastAsia"/>
          <w:sz w:val="18"/>
          <w:szCs w:val="18"/>
        </w:rPr>
        <w:t>产品托管人：具有证券投资基金托管业务资格的商业银行</w:t>
      </w:r>
    </w:p>
    <w:p w:rsidR="00562CD5" w:rsidRDefault="00C528B1">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rsidR="00562CD5" w:rsidRDefault="00C528B1">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EB2B8B" w:rsidRDefault="00EB2B8B" w:rsidP="00EB2B8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418"/>
      </w:tblGrid>
      <w:tr w:rsidR="00EB2B8B" w:rsidTr="001D5C6E">
        <w:trPr>
          <w:trHeight w:val="464"/>
        </w:trPr>
        <w:tc>
          <w:tcPr>
            <w:tcW w:w="675" w:type="dxa"/>
            <w:shd w:val="clear" w:color="auto" w:fill="D6E3BC"/>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激进型产品</w:t>
            </w:r>
          </w:p>
        </w:tc>
      </w:tr>
      <w:tr w:rsidR="00EB2B8B" w:rsidTr="001D5C6E">
        <w:trPr>
          <w:trHeight w:val="444"/>
        </w:trPr>
        <w:tc>
          <w:tcPr>
            <w:tcW w:w="675" w:type="dxa"/>
            <w:shd w:val="clear" w:color="auto" w:fill="D6E3BC"/>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进取型产品</w:t>
            </w:r>
          </w:p>
        </w:tc>
      </w:tr>
      <w:tr w:rsidR="00EB2B8B" w:rsidTr="001D5C6E">
        <w:trPr>
          <w:trHeight w:val="464"/>
        </w:trPr>
        <w:tc>
          <w:tcPr>
            <w:tcW w:w="675" w:type="dxa"/>
            <w:shd w:val="clear" w:color="auto" w:fill="D6E3BC"/>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平衡型产品</w:t>
            </w:r>
          </w:p>
        </w:tc>
      </w:tr>
      <w:tr w:rsidR="00EB2B8B" w:rsidTr="001D5C6E">
        <w:trPr>
          <w:trHeight w:val="464"/>
        </w:trPr>
        <w:tc>
          <w:tcPr>
            <w:tcW w:w="675" w:type="dxa"/>
            <w:shd w:val="clear" w:color="auto" w:fill="D6E3BC"/>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稳健型产品</w:t>
            </w:r>
          </w:p>
        </w:tc>
      </w:tr>
      <w:tr w:rsidR="00EB2B8B" w:rsidTr="001D5C6E">
        <w:trPr>
          <w:trHeight w:val="481"/>
        </w:trPr>
        <w:tc>
          <w:tcPr>
            <w:tcW w:w="675" w:type="dxa"/>
            <w:shd w:val="clear" w:color="auto" w:fill="D6E3BC"/>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rsidR="00EB2B8B" w:rsidRDefault="00EB2B8B" w:rsidP="001D5C6E">
            <w:pPr>
              <w:widowControl/>
              <w:adjustRightInd w:val="0"/>
              <w:snapToGrid w:val="0"/>
              <w:spacing w:line="300" w:lineRule="auto"/>
              <w:outlineLvl w:val="0"/>
              <w:rPr>
                <w:b/>
                <w:sz w:val="18"/>
                <w:szCs w:val="18"/>
              </w:rPr>
            </w:pPr>
            <w:r>
              <w:rPr>
                <w:rFonts w:hint="eastAsia"/>
                <w:b/>
                <w:sz w:val="18"/>
                <w:szCs w:val="18"/>
              </w:rPr>
              <w:t>谨慎型产品</w:t>
            </w:r>
          </w:p>
        </w:tc>
      </w:tr>
    </w:tbl>
    <w:p w:rsidR="00EB2B8B" w:rsidRDefault="006E1462" w:rsidP="00EB2B8B">
      <w:pPr>
        <w:widowControl/>
        <w:adjustRightInd w:val="0"/>
        <w:snapToGrid w:val="0"/>
        <w:spacing w:line="300" w:lineRule="auto"/>
        <w:outlineLvl w:val="0"/>
        <w:rPr>
          <w:b/>
          <w:sz w:val="18"/>
          <w:szCs w:val="18"/>
        </w:rPr>
      </w:pPr>
      <w:r>
        <w:rPr>
          <w:b/>
          <w:sz w:val="18"/>
          <w:szCs w:val="18"/>
        </w:rPr>
        <w:pict>
          <v:shapetype id="_x0000_t202" coordsize="21600,21600" o:spt="202" path="m,l,21600r21600,l21600,xe">
            <v:stroke joinstyle="miter"/>
            <v:path gradientshapeok="t" o:connecttype="rect"/>
          </v:shapetype>
          <v:shape id="文本框 1" o:spid="_x0000_s1058" type="#_x0000_t202" style="position:absolute;left:0;text-align:left;margin-left:-4.55pt;margin-top:17.3pt;width:30.7pt;height:72.15pt;z-index:2;mso-position-horizontal-relative:text;mso-position-vertical-relative:text"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J6N7M2QAA&#10;AAgBAAAPAAAAAAAAAAEAIAAAACIAAABkcnMvZG93bnJldi54bWxQSwECFAAUAAAACACHTuJA6hO2&#10;pKsBAAA2AwAADgAAAAAAAAABACAAAAAoAQAAZHJzL2Uyb0RvYy54bWxQSwUGAAAAAAYABgBZAQAA&#10;RQUAAAAA&#10;" stroked="f">
            <v:textbox style="layout-flow:vertical-ideographic">
              <w:txbxContent>
                <w:p w:rsidR="00EB2B8B" w:rsidRDefault="00EB2B8B" w:rsidP="00EB2B8B">
                  <w:pPr>
                    <w:jc w:val="center"/>
                  </w:pPr>
                  <w:r>
                    <w:rPr>
                      <w:rFonts w:hint="eastAsia"/>
                    </w:rPr>
                    <w:t>收益水平</w:t>
                  </w:r>
                </w:p>
              </w:txbxContent>
            </v:textbox>
          </v:shape>
        </w:pict>
      </w:r>
      <w:r>
        <w:rPr>
          <w:b/>
          <w:sz w:val="18"/>
          <w:szCs w:val="18"/>
        </w:rPr>
      </w:r>
      <w:r>
        <w:rPr>
          <w:b/>
          <w:sz w:val="18"/>
          <w:szCs w:val="18"/>
        </w:rPr>
        <w:pict>
          <v:group id="组合 11" o:spid="_x0000_s1048" style="width:309.4pt;height:149.3pt;mso-position-horizontal-relative:char;mso-position-vertical-relative:line"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">
            <v:rect id="矩形 2" o:spid="_x0000_s1049" style="position:absolute;width:6188;height:2986"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filled="f" stroked="f">
              <v:fill o:detectmouseclick="t"/>
              <o:lock v:ext="edit" aspectratio="t" text="t"/>
            </v:rect>
            <v:line id="直接连接符 3" o:spid="_x0000_s1050" style="position:absolute" from="254,2561" to="5708,2562"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detectmouseclick="t"/>
              <v:stroke endarrow="block"/>
            </v:line>
            <v:line id="直接连接符 4" o:spid="_x0000_s1051" style="position:absolute;flip:y" from="614,0" to="615,2935"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detectmouseclick="t"/>
              <v:stroke endarrow="block"/>
            </v:line>
            <v:rect id="矩形 5" o:spid="_x0000_s1052" style="position:absolute;left:793;top:1937;width:803;height:468"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textbox>
                <w:txbxContent>
                  <w:p w:rsidR="00EB2B8B" w:rsidRDefault="00EB2B8B" w:rsidP="00EB2B8B">
                    <w:pPr>
                      <w:ind w:firstLineChars="49" w:firstLine="89"/>
                      <w:rPr>
                        <w:b/>
                        <w:sz w:val="18"/>
                        <w:szCs w:val="18"/>
                      </w:rPr>
                    </w:pPr>
                    <w:r>
                      <w:rPr>
                        <w:rFonts w:hint="eastAsia"/>
                        <w:b/>
                        <w:sz w:val="18"/>
                        <w:szCs w:val="18"/>
                      </w:rPr>
                      <w:t>PR1</w:t>
                    </w:r>
                  </w:p>
                </w:txbxContent>
              </v:textbox>
            </v:rect>
            <v:rect id="矩形 6" o:spid="_x0000_s1053" style="position:absolute;left:1605;top:1469;width:808;height:468"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fillcolor="yellow">
              <v:textbox>
                <w:txbxContent>
                  <w:p w:rsidR="00EB2B8B" w:rsidRDefault="00EB2B8B" w:rsidP="00EB2B8B">
                    <w:pPr>
                      <w:ind w:firstLineChars="49" w:firstLine="89"/>
                      <w:rPr>
                        <w:b/>
                        <w:sz w:val="18"/>
                        <w:szCs w:val="18"/>
                      </w:rPr>
                    </w:pPr>
                    <w:r>
                      <w:rPr>
                        <w:rFonts w:hint="eastAsia"/>
                        <w:b/>
                        <w:sz w:val="18"/>
                        <w:szCs w:val="18"/>
                      </w:rPr>
                      <w:t>PR2</w:t>
                    </w:r>
                  </w:p>
                </w:txbxContent>
              </v:textbox>
            </v:rect>
            <v:rect id="矩形 7" o:spid="_x0000_s1054" style="position:absolute;left:2415;top:1001;width:815;height:468"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textbox>
                <w:txbxContent>
                  <w:p w:rsidR="00EB2B8B" w:rsidRDefault="00EB2B8B" w:rsidP="00EB2B8B">
                    <w:pPr>
                      <w:ind w:firstLineChars="49" w:firstLine="89"/>
                      <w:rPr>
                        <w:b/>
                        <w:sz w:val="18"/>
                        <w:szCs w:val="18"/>
                      </w:rPr>
                    </w:pPr>
                    <w:r>
                      <w:rPr>
                        <w:rFonts w:hint="eastAsia"/>
                        <w:b/>
                        <w:sz w:val="18"/>
                        <w:szCs w:val="18"/>
                      </w:rPr>
                      <w:t>PR3</w:t>
                    </w:r>
                  </w:p>
                </w:txbxContent>
              </v:textbox>
            </v:rect>
            <v:rect id="矩形 8" o:spid="_x0000_s1055" style="position:absolute;left:3225;top:533;width:823;height:468"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textbox>
                <w:txbxContent>
                  <w:p w:rsidR="00EB2B8B" w:rsidRDefault="00EB2B8B" w:rsidP="00EB2B8B">
                    <w:pPr>
                      <w:ind w:firstLineChars="49" w:firstLine="89"/>
                      <w:rPr>
                        <w:b/>
                        <w:sz w:val="18"/>
                        <w:szCs w:val="18"/>
                      </w:rPr>
                    </w:pPr>
                    <w:r>
                      <w:rPr>
                        <w:rFonts w:hint="eastAsia"/>
                        <w:b/>
                        <w:sz w:val="18"/>
                        <w:szCs w:val="18"/>
                      </w:rPr>
                      <w:t>PR4</w:t>
                    </w:r>
                  </w:p>
                </w:txbxContent>
              </v:textbox>
            </v:rect>
            <v:rect id="矩形 9" o:spid="_x0000_s1056" style="position:absolute;left:4048;top:65;width:841;height:468"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textbox>
                <w:txbxContent>
                  <w:p w:rsidR="00EB2B8B" w:rsidRDefault="00EB2B8B" w:rsidP="00EB2B8B">
                    <w:pPr>
                      <w:ind w:firstLineChars="49" w:firstLine="89"/>
                      <w:rPr>
                        <w:b/>
                        <w:sz w:val="18"/>
                        <w:szCs w:val="18"/>
                      </w:rPr>
                    </w:pPr>
                    <w:r>
                      <w:rPr>
                        <w:rFonts w:hint="eastAsia"/>
                        <w:b/>
                        <w:sz w:val="18"/>
                        <w:szCs w:val="18"/>
                      </w:rPr>
                      <w:t>PR5</w:t>
                    </w:r>
                  </w:p>
                </w:txbxContent>
              </v:textbox>
            </v:rect>
            <v:rect id="矩形 10" o:spid="_x0000_s1057" style="position:absolute;left:3630;top:2600;width:2558;height:386"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stroked="f">
              <v:textbox>
                <w:txbxContent>
                  <w:p w:rsidR="00EB2B8B" w:rsidRDefault="00EB2B8B" w:rsidP="00EB2B8B">
                    <w:pPr>
                      <w:jc w:val="center"/>
                      <w:rPr>
                        <w:sz w:val="18"/>
                        <w:szCs w:val="18"/>
                      </w:rPr>
                    </w:pPr>
                    <w:r>
                      <w:rPr>
                        <w:rFonts w:hint="eastAsia"/>
                        <w:sz w:val="18"/>
                        <w:szCs w:val="18"/>
                      </w:rPr>
                      <w:t>风险程度</w:t>
                    </w:r>
                  </w:p>
                </w:txbxContent>
              </v:textbox>
            </v:rect>
            <w10:anchorlock/>
          </v:group>
        </w:pict>
      </w:r>
    </w:p>
    <w:p w:rsidR="00562CD5" w:rsidRDefault="00C528B1">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w:t>
      </w:r>
      <w:r>
        <w:rPr>
          <w:rFonts w:hint="eastAsia"/>
          <w:sz w:val="18"/>
          <w:szCs w:val="18"/>
        </w:rPr>
        <w:t>PR2</w:t>
      </w:r>
      <w:r>
        <w:rPr>
          <w:rFonts w:hint="eastAsia"/>
          <w:sz w:val="18"/>
          <w:szCs w:val="18"/>
        </w:rPr>
        <w:t>。该评级仅是温州银行内部测评结果，仅供投资者参考，不具有任何法律约束力。</w:t>
      </w:r>
    </w:p>
    <w:p w:rsidR="00562CD5" w:rsidRDefault="00C528B1">
      <w:pPr>
        <w:adjustRightInd w:val="0"/>
        <w:snapToGrid w:val="0"/>
        <w:spacing w:line="300" w:lineRule="auto"/>
        <w:rPr>
          <w:b/>
          <w:sz w:val="18"/>
          <w:szCs w:val="18"/>
        </w:rPr>
      </w:pPr>
      <w:r>
        <w:rPr>
          <w:rFonts w:hint="eastAsia"/>
          <w:b/>
          <w:sz w:val="18"/>
          <w:szCs w:val="18"/>
        </w:rPr>
        <w:t>产品概述</w:t>
      </w:r>
    </w:p>
    <w:tbl>
      <w:tblPr>
        <w:tblpPr w:leftFromText="180" w:rightFromText="180" w:vertAnchor="text" w:horzAnchor="page" w:tblpX="1239" w:tblpY="320"/>
        <w:tblOverlap w:val="never"/>
        <w:tblW w:w="9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tblPr>
      <w:tblGrid>
        <w:gridCol w:w="1499"/>
        <w:gridCol w:w="7918"/>
      </w:tblGrid>
      <w:tr w:rsidR="00562CD5">
        <w:trPr>
          <w:trHeight w:val="253"/>
        </w:trPr>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产品名称</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产品编号</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sz w:val="18"/>
                <w:szCs w:val="18"/>
              </w:rPr>
            </w:pPr>
            <w:r>
              <w:rPr>
                <w:rFonts w:hint="eastAsia"/>
                <w:sz w:val="18"/>
                <w:szCs w:val="18"/>
              </w:rPr>
              <w:t>PZ0001</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sz w:val="18"/>
                <w:szCs w:val="18"/>
              </w:rPr>
            </w:pPr>
            <w:r>
              <w:rPr>
                <w:rFonts w:hint="eastAsia"/>
                <w:sz w:val="18"/>
                <w:szCs w:val="18"/>
              </w:rPr>
              <w:t>产品登记编码</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C1092220000402</w:t>
            </w:r>
          </w:p>
          <w:p w:rsidR="00562CD5" w:rsidRDefault="00C528B1">
            <w:pPr>
              <w:pStyle w:val="msonormalcxspmiddle"/>
              <w:adjustRightInd w:val="0"/>
              <w:snapToGrid w:val="0"/>
              <w:spacing w:beforeAutospacing="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投资类型</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固定收益类</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风险评级</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根据温州银行内部风险评级标准，本产品的风险等级为PR2级（稳健型）：总体风险程度较低，银行不承诺本金保障但本金损失可能性很小，产品收益随投资表现变动。</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lastRenderedPageBreak/>
              <w:t>适合客户</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经温州银行评估为稳健型、平衡型、进取型、激进型的个人投资者</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交易币种</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人民币</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计划发行量</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rPr>
                <w:rFonts w:cs="Times New Roman"/>
                <w:sz w:val="18"/>
                <w:szCs w:val="18"/>
              </w:rPr>
            </w:pPr>
            <w:r>
              <w:rPr>
                <w:rFonts w:hint="eastAsia"/>
                <w:sz w:val="18"/>
                <w:szCs w:val="18"/>
              </w:rPr>
              <w:t>发售规模不超过50亿元（温州银行有权根据产品募集和市场情况调整计划发行量。若认购期内实际募集金额超过计划发行量，则以实际募集金额为准。）</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认购期</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sz w:val="18"/>
                <w:szCs w:val="18"/>
                <w:u w:val="single"/>
              </w:rPr>
            </w:pPr>
            <w:r>
              <w:rPr>
                <w:rFonts w:hint="eastAsia"/>
                <w:sz w:val="18"/>
                <w:szCs w:val="18"/>
                <w:u w:val="single"/>
              </w:rPr>
              <w:t>2020年9月21日至2020年9月27日</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sz w:val="18"/>
                <w:szCs w:val="18"/>
              </w:rPr>
            </w:pPr>
            <w:r>
              <w:rPr>
                <w:rFonts w:hint="eastAsia"/>
                <w:sz w:val="18"/>
                <w:szCs w:val="18"/>
              </w:rPr>
              <w:t>产品成立日</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sz w:val="18"/>
                <w:szCs w:val="18"/>
              </w:rPr>
            </w:pPr>
            <w:r>
              <w:rPr>
                <w:rFonts w:hint="eastAsia"/>
                <w:sz w:val="18"/>
                <w:szCs w:val="18"/>
              </w:rPr>
              <w:t>2020年9月28日</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封闭期</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sz w:val="18"/>
                <w:szCs w:val="18"/>
              </w:rPr>
            </w:pPr>
            <w:r>
              <w:rPr>
                <w:rFonts w:hint="eastAsia"/>
                <w:sz w:val="18"/>
                <w:szCs w:val="18"/>
              </w:rPr>
              <w:t>2020年9月28日至2020年10月28日，封闭期内不受理赎回申请。</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理财期限</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autoSpaceDN w:val="0"/>
              <w:rPr>
                <w:sz w:val="18"/>
                <w:szCs w:val="18"/>
              </w:rPr>
            </w:pPr>
            <w:r>
              <w:rPr>
                <w:rFonts w:ascii="宋体" w:hAnsi="宋体"/>
                <w:kern w:val="0"/>
                <w:sz w:val="18"/>
              </w:rPr>
              <w:t>本理财</w:t>
            </w:r>
            <w:r>
              <w:rPr>
                <w:rFonts w:ascii="宋体" w:hAnsi="宋体" w:hint="eastAsia"/>
                <w:kern w:val="0"/>
                <w:sz w:val="18"/>
              </w:rPr>
              <w:t>计划无固定到期日</w:t>
            </w:r>
            <w:r>
              <w:rPr>
                <w:rFonts w:ascii="宋体" w:hAnsi="宋体"/>
                <w:kern w:val="0"/>
                <w:sz w:val="18"/>
              </w:rPr>
              <w:t>。</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投资运作周期</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autoSpaceDN w:val="0"/>
              <w:rPr>
                <w:rFonts w:ascii="宋体" w:hAnsi="宋体"/>
                <w:sz w:val="24"/>
              </w:rPr>
            </w:pPr>
            <w:r>
              <w:rPr>
                <w:rFonts w:ascii="宋体" w:hAnsi="宋体"/>
                <w:sz w:val="18"/>
              </w:rPr>
              <w:t>1．本理财产品成立后，按投资周期开放</w:t>
            </w:r>
            <w:r>
              <w:rPr>
                <w:rFonts w:ascii="宋体" w:hAnsi="宋体" w:hint="eastAsia"/>
                <w:sz w:val="18"/>
              </w:rPr>
              <w:t>预约认购（申购）</w:t>
            </w:r>
            <w:r>
              <w:rPr>
                <w:rFonts w:ascii="宋体" w:hAnsi="宋体"/>
                <w:sz w:val="18"/>
              </w:rPr>
              <w:t>、预约赎回。每一个投资</w:t>
            </w:r>
            <w:r>
              <w:rPr>
                <w:rFonts w:ascii="宋体" w:hAnsi="宋体" w:hint="eastAsia"/>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rsidR="00562CD5" w:rsidRDefault="00C528B1">
            <w:pPr>
              <w:autoSpaceDN w:val="0"/>
              <w:rPr>
                <w:rFonts w:ascii="宋体" w:hAnsi="宋体"/>
                <w:sz w:val="24"/>
              </w:rPr>
            </w:pPr>
            <w:r>
              <w:rPr>
                <w:rFonts w:ascii="宋体" w:hAnsi="宋体"/>
                <w:sz w:val="18"/>
              </w:rPr>
              <w:t>2．本理财产品一个投资周期为【</w:t>
            </w:r>
            <w:r>
              <w:rPr>
                <w:rFonts w:ascii="宋体" w:hAnsi="宋体" w:hint="eastAsia"/>
                <w:sz w:val="18"/>
              </w:rPr>
              <w:t>7</w:t>
            </w:r>
            <w:r>
              <w:rPr>
                <w:rFonts w:ascii="宋体" w:hAnsi="宋体"/>
                <w:sz w:val="18"/>
              </w:rPr>
              <w:t>】天，</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】天。投资周期终止日如遇非工作日则</w:t>
            </w:r>
            <w:r>
              <w:rPr>
                <w:rFonts w:ascii="宋体" w:hAnsi="宋体" w:hint="eastAsia"/>
                <w:sz w:val="18"/>
              </w:rPr>
              <w:t>温州</w:t>
            </w:r>
            <w:r>
              <w:rPr>
                <w:rFonts w:ascii="宋体" w:hAnsi="宋体"/>
                <w:sz w:val="18"/>
              </w:rPr>
              <w:t>银行</w:t>
            </w:r>
            <w:r>
              <w:rPr>
                <w:rFonts w:ascii="宋体" w:hAnsi="宋体" w:hint="eastAsia"/>
                <w:sz w:val="18"/>
              </w:rPr>
              <w:t>将</w:t>
            </w:r>
            <w:r>
              <w:rPr>
                <w:rFonts w:ascii="宋体" w:hAnsi="宋体"/>
                <w:sz w:val="18"/>
              </w:rPr>
              <w:t>做相应调整</w:t>
            </w:r>
            <w:r>
              <w:rPr>
                <w:rFonts w:ascii="宋体" w:hAnsi="宋体"/>
                <w:kern w:val="0"/>
                <w:sz w:val="18"/>
              </w:rPr>
              <w:t>。</w:t>
            </w:r>
          </w:p>
          <w:p w:rsidR="00562CD5" w:rsidRDefault="00C528B1">
            <w:pPr>
              <w:autoSpaceDN w:val="0"/>
              <w:rPr>
                <w:rFonts w:ascii="宋体" w:hAnsi="宋体"/>
                <w:sz w:val="18"/>
              </w:rPr>
            </w:pPr>
            <w:r>
              <w:rPr>
                <w:rFonts w:ascii="宋体" w:hAnsi="宋体"/>
                <w:sz w:val="18"/>
              </w:rPr>
              <w:t>3. 本理财产品按投资周期开放申购，</w:t>
            </w:r>
            <w:r>
              <w:rPr>
                <w:rFonts w:ascii="宋体" w:hAnsi="宋体" w:hint="eastAsia"/>
                <w:sz w:val="18"/>
              </w:rPr>
              <w:t>投资者</w:t>
            </w:r>
            <w:r>
              <w:rPr>
                <w:rFonts w:ascii="宋体" w:hAnsi="宋体"/>
                <w:sz w:val="18"/>
              </w:rPr>
              <w:t>可以在一个投资周期的预约</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期内提出</w:t>
            </w:r>
            <w:r>
              <w:rPr>
                <w:rFonts w:ascii="宋体" w:hAnsi="宋体" w:hint="eastAsia"/>
                <w:sz w:val="18"/>
              </w:rPr>
              <w:t>认购（</w:t>
            </w:r>
            <w:r>
              <w:rPr>
                <w:rFonts w:ascii="宋体" w:hAnsi="宋体"/>
                <w:sz w:val="18"/>
              </w:rPr>
              <w:t>申购</w:t>
            </w:r>
            <w:r>
              <w:rPr>
                <w:rFonts w:ascii="宋体" w:hAnsi="宋体" w:hint="eastAsia"/>
                <w:sz w:val="18"/>
              </w:rPr>
              <w:t>）</w:t>
            </w:r>
            <w:r>
              <w:rPr>
                <w:rFonts w:ascii="宋体" w:hAnsi="宋体"/>
                <w:sz w:val="18"/>
              </w:rPr>
              <w:t>申请</w:t>
            </w:r>
            <w:r>
              <w:rPr>
                <w:rFonts w:ascii="宋体" w:hAnsi="宋体" w:hint="eastAsia"/>
                <w:sz w:val="18"/>
              </w:rPr>
              <w:t>，认购（申购）确认日为下一个投资周期起始日</w:t>
            </w:r>
            <w:r>
              <w:rPr>
                <w:rFonts w:ascii="宋体" w:hAnsi="宋体"/>
                <w:sz w:val="18"/>
              </w:rPr>
              <w:t>。本理财产品按投资周期开放赎回，</w:t>
            </w:r>
            <w:r>
              <w:rPr>
                <w:rFonts w:ascii="宋体" w:hAnsi="宋体" w:hint="eastAsia"/>
                <w:sz w:val="18"/>
              </w:rPr>
              <w:t>投资者</w:t>
            </w:r>
            <w:r>
              <w:rPr>
                <w:rFonts w:ascii="宋体" w:hAnsi="宋体"/>
                <w:sz w:val="18"/>
              </w:rPr>
              <w:t>可以在一个投资周期的预约赎回期内提出赎回申请，赎回确认</w:t>
            </w:r>
            <w:r>
              <w:rPr>
                <w:rFonts w:ascii="宋体" w:hAnsi="宋体" w:hint="eastAsia"/>
                <w:sz w:val="18"/>
              </w:rPr>
              <w:t>及清算</w:t>
            </w:r>
            <w:r>
              <w:rPr>
                <w:rFonts w:ascii="宋体" w:hAnsi="宋体"/>
                <w:sz w:val="18"/>
              </w:rPr>
              <w:t>日为</w:t>
            </w:r>
            <w:r>
              <w:rPr>
                <w:rFonts w:ascii="宋体" w:hAnsi="宋体" w:hint="eastAsia"/>
                <w:sz w:val="18"/>
              </w:rPr>
              <w:t>该</w:t>
            </w:r>
            <w:r>
              <w:rPr>
                <w:rFonts w:ascii="宋体" w:hAnsi="宋体"/>
                <w:sz w:val="18"/>
              </w:rPr>
              <w:t>投资周期的投资周期终止日，</w:t>
            </w:r>
            <w:r>
              <w:rPr>
                <w:rFonts w:ascii="宋体" w:hAnsi="宋体" w:hint="eastAsia"/>
                <w:sz w:val="18"/>
              </w:rPr>
              <w:t>温州</w:t>
            </w:r>
            <w:r>
              <w:rPr>
                <w:rFonts w:ascii="宋体" w:hAnsi="宋体"/>
                <w:sz w:val="18"/>
              </w:rPr>
              <w:t>银行</w:t>
            </w:r>
            <w:r>
              <w:rPr>
                <w:rFonts w:ascii="宋体" w:hAnsi="宋体" w:hint="eastAsia"/>
                <w:sz w:val="18"/>
              </w:rPr>
              <w:t>根据投资者的赎回申请</w:t>
            </w:r>
            <w:r>
              <w:rPr>
                <w:rFonts w:ascii="宋体" w:hAnsi="宋体"/>
                <w:sz w:val="18"/>
              </w:rPr>
              <w:t>返还客户赎回本金和理财</w:t>
            </w:r>
            <w:r>
              <w:rPr>
                <w:rFonts w:ascii="宋体" w:hAnsi="宋体" w:hint="eastAsia"/>
                <w:sz w:val="18"/>
              </w:rPr>
              <w:t>损益</w:t>
            </w:r>
            <w:r>
              <w:rPr>
                <w:rFonts w:ascii="宋体" w:hAnsi="宋体"/>
                <w:sz w:val="18"/>
              </w:rPr>
              <w:t>。如果</w:t>
            </w:r>
            <w:r>
              <w:rPr>
                <w:rFonts w:ascii="宋体" w:hAnsi="宋体" w:hint="eastAsia"/>
                <w:sz w:val="18"/>
              </w:rPr>
              <w:t>投资者</w:t>
            </w:r>
            <w:r>
              <w:rPr>
                <w:rFonts w:ascii="宋体" w:hAnsi="宋体"/>
                <w:sz w:val="18"/>
              </w:rPr>
              <w:t>在</w:t>
            </w:r>
            <w:r>
              <w:rPr>
                <w:rFonts w:ascii="宋体" w:hAnsi="宋体" w:hint="eastAsia"/>
                <w:sz w:val="18"/>
              </w:rPr>
              <w:t>购买资金对应的</w:t>
            </w:r>
            <w:r>
              <w:rPr>
                <w:rFonts w:ascii="宋体" w:hAnsi="宋体"/>
                <w:sz w:val="18"/>
              </w:rPr>
              <w:t>投资周期</w:t>
            </w:r>
            <w:r>
              <w:rPr>
                <w:rFonts w:ascii="宋体" w:hAnsi="宋体" w:hint="eastAsia"/>
                <w:sz w:val="18"/>
              </w:rPr>
              <w:t>内</w:t>
            </w:r>
            <w:r>
              <w:rPr>
                <w:rFonts w:ascii="宋体" w:hAnsi="宋体"/>
                <w:sz w:val="18"/>
              </w:rPr>
              <w:t>的预期赎回期内未提出赎回申请，则该投资周期终止后，客户的理财资金</w:t>
            </w:r>
            <w:r>
              <w:rPr>
                <w:rFonts w:ascii="宋体" w:hAnsi="宋体" w:hint="eastAsia"/>
                <w:sz w:val="18"/>
              </w:rPr>
              <w:t>将</w:t>
            </w:r>
            <w:r>
              <w:rPr>
                <w:rFonts w:ascii="宋体" w:hAnsi="宋体"/>
                <w:sz w:val="18"/>
              </w:rPr>
              <w:t>继续进入下一个投资周期进行理财运作，</w:t>
            </w:r>
            <w:r>
              <w:rPr>
                <w:rFonts w:ascii="宋体" w:hAnsi="宋体" w:hint="eastAsia"/>
                <w:sz w:val="18"/>
              </w:rPr>
              <w:t>温州</w:t>
            </w:r>
            <w:r>
              <w:rPr>
                <w:rFonts w:ascii="宋体" w:hAnsi="宋体"/>
                <w:sz w:val="18"/>
              </w:rPr>
              <w:t>银行</w:t>
            </w:r>
            <w:r>
              <w:rPr>
                <w:rFonts w:ascii="宋体" w:hAnsi="宋体" w:hint="eastAsia"/>
                <w:sz w:val="18"/>
              </w:rPr>
              <w:t>在对应的</w:t>
            </w:r>
            <w:r>
              <w:rPr>
                <w:rFonts w:ascii="宋体" w:hAnsi="宋体"/>
                <w:sz w:val="18"/>
              </w:rPr>
              <w:t>投资周期终止日，</w:t>
            </w:r>
            <w:r>
              <w:rPr>
                <w:rFonts w:ascii="宋体" w:hAnsi="宋体" w:hint="eastAsia"/>
                <w:sz w:val="18"/>
              </w:rPr>
              <w:t>进行</w:t>
            </w:r>
            <w:r>
              <w:rPr>
                <w:rFonts w:ascii="宋体" w:hAnsi="宋体"/>
                <w:sz w:val="18"/>
              </w:rPr>
              <w:t>该投资周期理财收益</w:t>
            </w:r>
            <w:r>
              <w:rPr>
                <w:rFonts w:ascii="宋体" w:hAnsi="宋体" w:hint="eastAsia"/>
                <w:sz w:val="18"/>
              </w:rPr>
              <w:t>清算</w:t>
            </w:r>
            <w:r>
              <w:rPr>
                <w:rFonts w:ascii="宋体" w:hAnsi="宋体"/>
                <w:sz w:val="18"/>
              </w:rPr>
              <w:t>。</w:t>
            </w:r>
          </w:p>
          <w:p w:rsidR="00562CD5" w:rsidRDefault="00C528B1">
            <w:pPr>
              <w:autoSpaceDN w:val="0"/>
              <w:rPr>
                <w:rFonts w:ascii="宋体" w:hAnsi="宋体"/>
                <w:sz w:val="18"/>
              </w:rPr>
            </w:pPr>
            <w:r>
              <w:rPr>
                <w:rFonts w:ascii="宋体" w:hAnsi="宋体" w:hint="eastAsia"/>
                <w:sz w:val="18"/>
              </w:rPr>
              <w:t>4.在理财产品存续期内，温州银行有权根据市场情况变化暂停本理财产品的申购、赎回，暂停申购、赎回的公告将通过温州银行网站（www.wzbank.cn）发布。</w:t>
            </w:r>
          </w:p>
          <w:p w:rsidR="00562CD5" w:rsidRDefault="00C528B1">
            <w:pPr>
              <w:autoSpaceDN w:val="0"/>
              <w:rPr>
                <w:rFonts w:ascii="宋体" w:hAnsi="宋体"/>
                <w:sz w:val="24"/>
              </w:rPr>
            </w:pPr>
            <w:r>
              <w:rPr>
                <w:rFonts w:ascii="宋体" w:hAnsi="宋体" w:hint="eastAsia"/>
                <w:sz w:val="18"/>
              </w:rPr>
              <w:t>5.产品封闭期结束后的每个周四（如遇非工作日则顺延至下一工作日）为投资周期终止日。</w:t>
            </w:r>
          </w:p>
          <w:p w:rsidR="00562CD5" w:rsidRDefault="00C528B1">
            <w:pPr>
              <w:autoSpaceDN w:val="0"/>
              <w:rPr>
                <w:sz w:val="18"/>
                <w:szCs w:val="18"/>
              </w:rPr>
            </w:pPr>
            <w:r>
              <w:rPr>
                <w:rFonts w:ascii="宋体" w:hAnsi="宋体" w:hint="eastAsia"/>
                <w:sz w:val="18"/>
              </w:rPr>
              <w:t>6</w:t>
            </w:r>
            <w:r>
              <w:rPr>
                <w:rFonts w:ascii="宋体" w:hAnsi="宋体"/>
                <w:sz w:val="18"/>
              </w:rPr>
              <w:t>．当期投资周期的投资周期终止日、赎回</w:t>
            </w:r>
            <w:r>
              <w:rPr>
                <w:rFonts w:ascii="宋体" w:hAnsi="宋体" w:hint="eastAsia"/>
                <w:sz w:val="18"/>
              </w:rPr>
              <w:t>清算</w:t>
            </w:r>
            <w:r>
              <w:rPr>
                <w:rFonts w:ascii="宋体" w:hAnsi="宋体"/>
                <w:sz w:val="18"/>
              </w:rPr>
              <w:t>日和下一个投资周期的投资周期起始日为同一天。</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autoSpaceDN w:val="0"/>
              <w:jc w:val="center"/>
              <w:rPr>
                <w:rFonts w:ascii="宋体" w:hAnsi="宋体"/>
                <w:sz w:val="18"/>
              </w:rPr>
            </w:pPr>
            <w:r>
              <w:rPr>
                <w:rFonts w:ascii="宋体" w:hAnsi="宋体" w:hint="eastAsia"/>
                <w:sz w:val="18"/>
              </w:rPr>
              <w:t>认购、申购起点</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autoSpaceDN w:val="0"/>
              <w:jc w:val="left"/>
              <w:rPr>
                <w:rFonts w:ascii="宋体" w:hAnsi="宋体"/>
                <w:sz w:val="18"/>
              </w:rPr>
            </w:pPr>
            <w:r>
              <w:rPr>
                <w:rFonts w:ascii="宋体" w:hAnsi="宋体" w:hint="eastAsia"/>
                <w:sz w:val="18"/>
              </w:rPr>
              <w:t>首次投资最低金额为</w:t>
            </w:r>
            <w:r>
              <w:rPr>
                <w:rFonts w:ascii="宋体" w:hAnsi="宋体"/>
                <w:sz w:val="18"/>
              </w:rPr>
              <w:t>1</w:t>
            </w:r>
            <w:r>
              <w:rPr>
                <w:rFonts w:ascii="宋体" w:hAnsi="宋体" w:hint="eastAsia"/>
                <w:sz w:val="18"/>
              </w:rPr>
              <w:t>万元；超出首次投资最低金额部分，须为</w:t>
            </w:r>
            <w:r>
              <w:rPr>
                <w:rFonts w:ascii="宋体" w:hAnsi="宋体"/>
                <w:sz w:val="18"/>
              </w:rPr>
              <w:t>1</w:t>
            </w:r>
            <w:r>
              <w:rPr>
                <w:rFonts w:ascii="宋体" w:hAnsi="宋体" w:hint="eastAsia"/>
                <w:sz w:val="18"/>
              </w:rPr>
              <w:t>千元或</w:t>
            </w:r>
            <w:r>
              <w:rPr>
                <w:rFonts w:ascii="宋体" w:hAnsi="宋体"/>
                <w:sz w:val="18"/>
              </w:rPr>
              <w:t>1</w:t>
            </w:r>
            <w:r>
              <w:rPr>
                <w:rFonts w:ascii="宋体" w:hAnsi="宋体" w:hint="eastAsia"/>
                <w:sz w:val="18"/>
              </w:rPr>
              <w:t>千元的整数倍。单户累计最大购买金额3000万元。</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认购份额=认购金额÷1元</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申购份额</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adjustRightInd w:val="0"/>
              <w:snapToGrid w:val="0"/>
              <w:spacing w:line="286" w:lineRule="auto"/>
              <w:jc w:val="center"/>
              <w:rPr>
                <w:sz w:val="18"/>
                <w:szCs w:val="18"/>
              </w:rPr>
            </w:pPr>
            <w:r>
              <w:rPr>
                <w:rFonts w:hint="eastAsia"/>
                <w:sz w:val="18"/>
                <w:szCs w:val="18"/>
              </w:rPr>
              <w:t>申购份额＝申购金额÷申购确认日前一日理财计划份额净值</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赎回金额的计算</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adjustRightInd w:val="0"/>
              <w:snapToGrid w:val="0"/>
              <w:spacing w:line="286" w:lineRule="auto"/>
              <w:jc w:val="center"/>
              <w:rPr>
                <w:sz w:val="18"/>
                <w:szCs w:val="18"/>
              </w:rPr>
            </w:pPr>
            <w:r>
              <w:rPr>
                <w:rFonts w:hint="eastAsia"/>
                <w:sz w:val="18"/>
                <w:szCs w:val="18"/>
              </w:rPr>
              <w:t>赎回金额＝总赎回份额×赎回清算日前一日理财计划单位净值</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托管费率</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0.005%</w:t>
            </w:r>
            <w:r>
              <w:rPr>
                <w:rFonts w:hint="eastAsia"/>
                <w:sz w:val="18"/>
                <w:szCs w:val="18"/>
              </w:rPr>
              <w:t>（年化）</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业绩比较基准</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3.75%（年化）</w:t>
            </w:r>
          </w:p>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本产品为净值型理财产品，其业绩表现将随市场波动具有不确定性。业绩比较基准并不代表实际收益率，仅作为浮动管理费计提参照使用。</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固定管理费</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0.5%（年化）</w:t>
            </w:r>
          </w:p>
        </w:tc>
      </w:tr>
      <w:tr w:rsidR="00562CD5">
        <w:trPr>
          <w:trHeight w:val="644"/>
        </w:trPr>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浮动管理费</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rsidR="00562CD5">
        <w:trPr>
          <w:trHeight w:val="644"/>
        </w:trPr>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其他费用（如有）</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交易费用（包括但不限于交易佣金、撮合费用等）、理财计划估值服务费、理财计划验资费、审计费、律师费、信息披露费、清算费、执行费用等相关费用，具体以实际发生为准。</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单位净值</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a8"/>
              <w:widowControl/>
              <w:spacing w:before="100" w:beforeAutospacing="1" w:after="100" w:afterAutospacing="1"/>
              <w:rPr>
                <w:rFonts w:ascii="宋体" w:hAnsi="宋体"/>
                <w:kern w:val="0"/>
                <w:sz w:val="18"/>
                <w:szCs w:val="18"/>
              </w:rPr>
            </w:pPr>
            <w:r>
              <w:rPr>
                <w:rFonts w:ascii="宋体" w:hAnsi="宋体" w:hint="eastAsia"/>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hint="eastAsia"/>
                <w:sz w:val="18"/>
                <w:szCs w:val="18"/>
              </w:rPr>
              <w:t>产品托管人</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adjustRightInd w:val="0"/>
              <w:snapToGrid w:val="0"/>
              <w:spacing w:line="300" w:lineRule="auto"/>
              <w:jc w:val="center"/>
              <w:rPr>
                <w:sz w:val="18"/>
                <w:szCs w:val="18"/>
              </w:rPr>
            </w:pPr>
            <w:r>
              <w:rPr>
                <w:rFonts w:hint="eastAsia"/>
                <w:sz w:val="18"/>
                <w:szCs w:val="18"/>
              </w:rPr>
              <w:t>具有证券投资基金托管业务资格的商业银行</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lastRenderedPageBreak/>
              <w:t>净值披露</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rPr>
                <w:sz w:val="18"/>
                <w:szCs w:val="18"/>
              </w:rPr>
            </w:pPr>
            <w:r>
              <w:rPr>
                <w:rFonts w:hint="eastAsia"/>
                <w:sz w:val="18"/>
                <w:szCs w:val="18"/>
              </w:rPr>
              <w:t>温州银行将在温州银行官方网站定期披露产品净值、投资收益情况及其他重要信息。</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税款规定</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autoSpaceDE w:val="0"/>
              <w:autoSpaceDN w:val="0"/>
              <w:adjustRightInd w:val="0"/>
              <w:jc w:val="left"/>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b/>
                <w:sz w:val="18"/>
                <w:szCs w:val="18"/>
              </w:rPr>
            </w:pPr>
            <w:r>
              <w:rPr>
                <w:rFonts w:cs="Times New Roman" w:hint="eastAsia"/>
                <w:b/>
                <w:sz w:val="18"/>
                <w:szCs w:val="18"/>
              </w:rPr>
              <w:t>终止权</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rPr>
                <w:rFonts w:cs="Times New Roman"/>
                <w:b/>
                <w:sz w:val="18"/>
                <w:szCs w:val="18"/>
              </w:rPr>
            </w:pPr>
            <w:r>
              <w:rPr>
                <w:rFonts w:cs="Times New Roman" w:hint="eastAsia"/>
                <w:b/>
                <w:sz w:val="18"/>
                <w:szCs w:val="18"/>
              </w:rPr>
              <w:t>客户无终止权。如遇国家金融政策出现重大调整并影响到本产品的正常运行时，银行有权终止本产品。</w:t>
            </w:r>
          </w:p>
        </w:tc>
      </w:tr>
      <w:tr w:rsidR="00562CD5">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工作日</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国家法定工作日</w:t>
            </w:r>
          </w:p>
        </w:tc>
      </w:tr>
      <w:tr w:rsidR="00562CD5">
        <w:trPr>
          <w:trHeight w:val="72"/>
        </w:trPr>
        <w:tc>
          <w:tcPr>
            <w:tcW w:w="1499"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jc w:val="center"/>
              <w:rPr>
                <w:rFonts w:cs="Times New Roman"/>
                <w:sz w:val="18"/>
                <w:szCs w:val="18"/>
              </w:rPr>
            </w:pPr>
            <w:r>
              <w:rPr>
                <w:rFonts w:cs="Times New Roman" w:hint="eastAsia"/>
                <w:sz w:val="18"/>
                <w:szCs w:val="18"/>
              </w:rPr>
              <w:t>其他规定</w:t>
            </w:r>
          </w:p>
        </w:tc>
        <w:tc>
          <w:tcPr>
            <w:tcW w:w="7918" w:type="dxa"/>
            <w:tcBorders>
              <w:top w:val="single" w:sz="4" w:space="0" w:color="auto"/>
              <w:left w:val="single" w:sz="4" w:space="0" w:color="auto"/>
              <w:bottom w:val="single" w:sz="4" w:space="0" w:color="auto"/>
              <w:right w:val="single" w:sz="4" w:space="0" w:color="auto"/>
            </w:tcBorders>
            <w:vAlign w:val="center"/>
          </w:tcPr>
          <w:p w:rsidR="00562CD5" w:rsidRDefault="00C528B1">
            <w:pPr>
              <w:pStyle w:val="msonormalcxspmiddle"/>
              <w:adjustRightInd w:val="0"/>
              <w:snapToGrid w:val="0"/>
              <w:spacing w:beforeAutospacing="0" w:afterAutospacing="0" w:line="288" w:lineRule="auto"/>
              <w:rPr>
                <w:rFonts w:cs="Times New Roman"/>
                <w:sz w:val="18"/>
                <w:szCs w:val="18"/>
              </w:rPr>
            </w:pPr>
            <w:r>
              <w:rPr>
                <w:rFonts w:cs="Times New Roman" w:hint="eastAsia"/>
                <w:sz w:val="18"/>
                <w:szCs w:val="18"/>
              </w:rPr>
              <w:t>理财本金在理财开始日前交存于温州银行的，按当时实行的活期利率计息。赎回清算日到理财资金返还到账日为还本清算期，还本清算期内不计付利息和收益。</w:t>
            </w:r>
          </w:p>
        </w:tc>
      </w:tr>
    </w:tbl>
    <w:p w:rsidR="00562CD5" w:rsidRDefault="00C528B1" w:rsidP="0075297D">
      <w:pPr>
        <w:adjustRightInd w:val="0"/>
        <w:snapToGrid w:val="0"/>
        <w:spacing w:beforeLines="50" w:line="288" w:lineRule="auto"/>
        <w:rPr>
          <w:b/>
          <w:sz w:val="18"/>
          <w:szCs w:val="18"/>
        </w:rPr>
      </w:pPr>
      <w:r>
        <w:rPr>
          <w:rFonts w:hint="eastAsia"/>
          <w:b/>
          <w:sz w:val="18"/>
          <w:szCs w:val="18"/>
        </w:rPr>
        <w:t>投资管理</w:t>
      </w:r>
    </w:p>
    <w:p w:rsidR="00562CD5" w:rsidRDefault="00C528B1">
      <w:pPr>
        <w:adjustRightInd w:val="0"/>
        <w:snapToGrid w:val="0"/>
        <w:spacing w:line="300" w:lineRule="auto"/>
        <w:rPr>
          <w:sz w:val="18"/>
          <w:szCs w:val="18"/>
        </w:rPr>
      </w:pPr>
      <w:r>
        <w:rPr>
          <w:rFonts w:hint="eastAsia"/>
          <w:sz w:val="18"/>
          <w:szCs w:val="18"/>
        </w:rPr>
        <w:t>1</w:t>
      </w:r>
      <w:r>
        <w:rPr>
          <w:rFonts w:hint="eastAsia"/>
          <w:sz w:val="18"/>
          <w:szCs w:val="18"/>
        </w:rPr>
        <w:t>、投资对象</w:t>
      </w:r>
    </w:p>
    <w:p w:rsidR="00562CD5" w:rsidRDefault="00C528B1">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货币市场工具、债券等债权类资产及权益类资产，具体包括但不限于银行间市场和证券交易所市场债权性资产、固定收益类非标准化债权资产、公募基金、资产管理计划、信托计划、各类受（收）益权、资产支持证券、票据资产、债券型基金、股票、股票型基金、证券投资基金，及其他符合监管要求的投资标的和资产组合。本产品的收益主要来源于理财资金所投资资产的投资回报。投资者按其认购金额占该理财产品项下所有认购资金的比例，承担相应比例的收益和风险。</w:t>
      </w:r>
    </w:p>
    <w:p w:rsidR="00562CD5" w:rsidRDefault="00C528B1">
      <w:pPr>
        <w:adjustRightInd w:val="0"/>
        <w:snapToGrid w:val="0"/>
        <w:spacing w:line="288" w:lineRule="auto"/>
        <w:rPr>
          <w:sz w:val="18"/>
          <w:szCs w:val="18"/>
        </w:rPr>
      </w:pPr>
      <w:r>
        <w:rPr>
          <w:sz w:val="18"/>
          <w:szCs w:val="18"/>
        </w:rPr>
        <w:t>2</w:t>
      </w:r>
      <w:r>
        <w:rPr>
          <w:rFonts w:hint="eastAsia"/>
          <w:sz w:val="18"/>
          <w:szCs w:val="18"/>
        </w:rPr>
        <w:t>、投资范围与投资比例</w:t>
      </w:r>
    </w:p>
    <w:tbl>
      <w:tblPr>
        <w:tblW w:w="9400" w:type="dxa"/>
        <w:jc w:val="center"/>
        <w:tblLayout w:type="fixed"/>
        <w:tblLook w:val="04A0"/>
      </w:tblPr>
      <w:tblGrid>
        <w:gridCol w:w="2081"/>
        <w:gridCol w:w="5616"/>
        <w:gridCol w:w="1703"/>
      </w:tblGrid>
      <w:tr w:rsidR="00562CD5">
        <w:trPr>
          <w:trHeight w:val="270"/>
          <w:jc w:val="center"/>
        </w:trPr>
        <w:tc>
          <w:tcPr>
            <w:tcW w:w="2081" w:type="dxa"/>
            <w:tcBorders>
              <w:top w:val="single" w:sz="4" w:space="0" w:color="auto"/>
              <w:left w:val="single" w:sz="4" w:space="0" w:color="auto"/>
              <w:bottom w:val="single" w:sz="4" w:space="0" w:color="auto"/>
              <w:right w:val="single" w:sz="4" w:space="0" w:color="auto"/>
            </w:tcBorders>
            <w:vAlign w:val="bottom"/>
          </w:tcPr>
          <w:p w:rsidR="00562CD5" w:rsidRDefault="00C528B1">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资产类别</w:t>
            </w:r>
          </w:p>
        </w:tc>
        <w:tc>
          <w:tcPr>
            <w:tcW w:w="5616" w:type="dxa"/>
            <w:tcBorders>
              <w:top w:val="single" w:sz="4" w:space="0" w:color="auto"/>
              <w:left w:val="nil"/>
              <w:bottom w:val="single" w:sz="4" w:space="0" w:color="auto"/>
              <w:right w:val="single" w:sz="4" w:space="0" w:color="auto"/>
            </w:tcBorders>
            <w:vAlign w:val="bottom"/>
          </w:tcPr>
          <w:p w:rsidR="00562CD5" w:rsidRDefault="00C528B1">
            <w:pPr>
              <w:widowControl/>
              <w:jc w:val="left"/>
              <w:rPr>
                <w:rFonts w:ascii="宋体" w:hAnsi="宋体" w:cs="宋体"/>
                <w:color w:val="000000"/>
                <w:kern w:val="0"/>
                <w:sz w:val="18"/>
                <w:szCs w:val="18"/>
              </w:rPr>
            </w:pPr>
            <w:r>
              <w:rPr>
                <w:rFonts w:ascii="宋体" w:hAnsi="宋体" w:cs="宋体" w:hint="eastAsia"/>
                <w:color w:val="000000"/>
                <w:kern w:val="0"/>
                <w:sz w:val="18"/>
                <w:szCs w:val="18"/>
              </w:rPr>
              <w:t>资产种类</w:t>
            </w:r>
          </w:p>
        </w:tc>
        <w:tc>
          <w:tcPr>
            <w:tcW w:w="1703" w:type="dxa"/>
            <w:tcBorders>
              <w:top w:val="single" w:sz="4" w:space="0" w:color="auto"/>
              <w:left w:val="nil"/>
              <w:bottom w:val="single" w:sz="4" w:space="0" w:color="auto"/>
              <w:right w:val="single" w:sz="4" w:space="0" w:color="auto"/>
            </w:tcBorders>
            <w:vAlign w:val="bottom"/>
          </w:tcPr>
          <w:p w:rsidR="00562CD5" w:rsidRDefault="00C528B1">
            <w:pPr>
              <w:widowControl/>
              <w:jc w:val="left"/>
              <w:rPr>
                <w:rFonts w:ascii="宋体" w:hAnsi="宋体" w:cs="宋体"/>
                <w:color w:val="000000"/>
                <w:kern w:val="0"/>
                <w:sz w:val="18"/>
                <w:szCs w:val="18"/>
              </w:rPr>
            </w:pPr>
            <w:r>
              <w:rPr>
                <w:rFonts w:ascii="宋体" w:hAnsi="宋体" w:cs="宋体" w:hint="eastAsia"/>
                <w:color w:val="000000"/>
                <w:kern w:val="0"/>
                <w:sz w:val="18"/>
                <w:szCs w:val="18"/>
              </w:rPr>
              <w:t>投资比例</w:t>
            </w:r>
          </w:p>
        </w:tc>
      </w:tr>
      <w:tr w:rsidR="00562CD5">
        <w:trPr>
          <w:trHeight w:val="270"/>
          <w:jc w:val="center"/>
        </w:trPr>
        <w:tc>
          <w:tcPr>
            <w:tcW w:w="2081" w:type="dxa"/>
            <w:vMerge w:val="restart"/>
            <w:tcBorders>
              <w:top w:val="nil"/>
              <w:left w:val="single" w:sz="4" w:space="0" w:color="auto"/>
              <w:bottom w:val="single" w:sz="4" w:space="0" w:color="000000"/>
              <w:right w:val="single" w:sz="4" w:space="0" w:color="auto"/>
            </w:tcBorders>
            <w:vAlign w:val="center"/>
          </w:tcPr>
          <w:p w:rsidR="00562CD5" w:rsidRDefault="00C528B1">
            <w:pPr>
              <w:widowControl/>
              <w:rPr>
                <w:rFonts w:ascii="宋体" w:hAnsi="宋体" w:cs="宋体"/>
                <w:color w:val="000000"/>
                <w:kern w:val="0"/>
                <w:sz w:val="18"/>
                <w:szCs w:val="18"/>
              </w:rPr>
            </w:pPr>
            <w:r>
              <w:rPr>
                <w:rFonts w:ascii="宋体" w:hAnsi="宋体" w:cs="宋体" w:hint="eastAsia"/>
                <w:color w:val="000000"/>
                <w:kern w:val="0"/>
                <w:sz w:val="18"/>
                <w:szCs w:val="18"/>
              </w:rPr>
              <w:t>固定收益类</w:t>
            </w:r>
          </w:p>
        </w:tc>
        <w:tc>
          <w:tcPr>
            <w:tcW w:w="5616" w:type="dxa"/>
            <w:tcBorders>
              <w:top w:val="nil"/>
              <w:left w:val="nil"/>
              <w:bottom w:val="single" w:sz="4" w:space="0" w:color="auto"/>
              <w:right w:val="single" w:sz="4" w:space="0" w:color="auto"/>
            </w:tcBorders>
            <w:vAlign w:val="bottom"/>
          </w:tcPr>
          <w:p w:rsidR="00562CD5" w:rsidRDefault="00C528B1">
            <w:pPr>
              <w:widowControl/>
              <w:jc w:val="left"/>
              <w:rPr>
                <w:rFonts w:ascii="宋体" w:hAnsi="宋体" w:cs="宋体"/>
                <w:color w:val="000000"/>
                <w:kern w:val="0"/>
                <w:sz w:val="18"/>
                <w:szCs w:val="18"/>
              </w:rPr>
            </w:pPr>
            <w:r>
              <w:rPr>
                <w:rFonts w:ascii="宋体" w:hAnsi="宋体" w:cs="宋体" w:hint="eastAsia"/>
                <w:color w:val="000000"/>
                <w:kern w:val="0"/>
                <w:sz w:val="18"/>
                <w:szCs w:val="18"/>
              </w:rPr>
              <w:t>存款类</w:t>
            </w:r>
          </w:p>
        </w:tc>
        <w:tc>
          <w:tcPr>
            <w:tcW w:w="1703" w:type="dxa"/>
            <w:vMerge w:val="restart"/>
            <w:tcBorders>
              <w:top w:val="nil"/>
              <w:left w:val="single" w:sz="4" w:space="0" w:color="auto"/>
              <w:bottom w:val="single" w:sz="4" w:space="0" w:color="auto"/>
              <w:right w:val="single" w:sz="4" w:space="0" w:color="auto"/>
            </w:tcBorders>
            <w:vAlign w:val="center"/>
          </w:tcPr>
          <w:p w:rsidR="00562CD5" w:rsidRDefault="00C528B1">
            <w:pPr>
              <w:widowControl/>
              <w:jc w:val="center"/>
              <w:rPr>
                <w:rFonts w:ascii="宋体" w:hAnsi="宋体" w:cs="宋体"/>
                <w:color w:val="000000"/>
                <w:kern w:val="0"/>
                <w:sz w:val="18"/>
                <w:szCs w:val="18"/>
              </w:rPr>
            </w:pPr>
            <w:r>
              <w:rPr>
                <w:rFonts w:ascii="宋体" w:hAnsi="宋体" w:cs="宋体" w:hint="eastAsia"/>
                <w:color w:val="000000"/>
                <w:kern w:val="0"/>
                <w:sz w:val="18"/>
                <w:szCs w:val="18"/>
              </w:rPr>
              <w:t>80-100%</w:t>
            </w:r>
          </w:p>
        </w:tc>
      </w:tr>
      <w:tr w:rsidR="00562CD5">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562CD5" w:rsidRDefault="00562CD5">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562CD5" w:rsidRDefault="00C528B1">
            <w:pPr>
              <w:widowControl/>
              <w:jc w:val="left"/>
              <w:rPr>
                <w:rFonts w:ascii="宋体" w:hAnsi="宋体" w:cs="宋体"/>
                <w:color w:val="000000"/>
                <w:kern w:val="0"/>
                <w:sz w:val="18"/>
                <w:szCs w:val="18"/>
              </w:rPr>
            </w:pPr>
            <w:r>
              <w:rPr>
                <w:rFonts w:ascii="宋体" w:hAnsi="宋体" w:cs="宋体" w:hint="eastAsia"/>
                <w:color w:val="000000"/>
                <w:kern w:val="0"/>
                <w:sz w:val="18"/>
                <w:szCs w:val="18"/>
              </w:rPr>
              <w:t>货币市场工具类</w:t>
            </w:r>
          </w:p>
        </w:tc>
        <w:tc>
          <w:tcPr>
            <w:tcW w:w="1703" w:type="dxa"/>
            <w:vMerge/>
            <w:tcBorders>
              <w:top w:val="nil"/>
              <w:left w:val="single" w:sz="4" w:space="0" w:color="auto"/>
              <w:bottom w:val="single" w:sz="4" w:space="0" w:color="auto"/>
              <w:right w:val="single" w:sz="4" w:space="0" w:color="auto"/>
            </w:tcBorders>
            <w:vAlign w:val="center"/>
          </w:tcPr>
          <w:p w:rsidR="00562CD5" w:rsidRDefault="00562CD5">
            <w:pPr>
              <w:widowControl/>
              <w:jc w:val="left"/>
              <w:rPr>
                <w:rFonts w:ascii="宋体" w:hAnsi="宋体" w:cs="宋体"/>
                <w:color w:val="000000"/>
                <w:kern w:val="0"/>
                <w:sz w:val="18"/>
                <w:szCs w:val="18"/>
              </w:rPr>
            </w:pPr>
          </w:p>
        </w:tc>
      </w:tr>
      <w:tr w:rsidR="00562CD5">
        <w:trPr>
          <w:trHeight w:val="270"/>
          <w:jc w:val="center"/>
        </w:trPr>
        <w:tc>
          <w:tcPr>
            <w:tcW w:w="2081" w:type="dxa"/>
            <w:vMerge/>
            <w:tcBorders>
              <w:top w:val="nil"/>
              <w:left w:val="single" w:sz="4" w:space="0" w:color="auto"/>
              <w:bottom w:val="single" w:sz="4" w:space="0" w:color="000000"/>
              <w:right w:val="single" w:sz="4" w:space="0" w:color="auto"/>
            </w:tcBorders>
            <w:vAlign w:val="center"/>
          </w:tcPr>
          <w:p w:rsidR="00562CD5" w:rsidRDefault="00562CD5">
            <w:pPr>
              <w:widowControl/>
              <w:jc w:val="left"/>
              <w:rPr>
                <w:rFonts w:ascii="宋体" w:hAnsi="宋体" w:cs="宋体"/>
                <w:color w:val="000000"/>
                <w:kern w:val="0"/>
                <w:sz w:val="18"/>
                <w:szCs w:val="18"/>
              </w:rPr>
            </w:pPr>
          </w:p>
        </w:tc>
        <w:tc>
          <w:tcPr>
            <w:tcW w:w="5616" w:type="dxa"/>
            <w:tcBorders>
              <w:top w:val="nil"/>
              <w:left w:val="nil"/>
              <w:bottom w:val="single" w:sz="4" w:space="0" w:color="auto"/>
              <w:right w:val="single" w:sz="4" w:space="0" w:color="auto"/>
            </w:tcBorders>
            <w:vAlign w:val="bottom"/>
          </w:tcPr>
          <w:p w:rsidR="00562CD5" w:rsidRDefault="00C528B1">
            <w:pPr>
              <w:widowControl/>
              <w:jc w:val="left"/>
              <w:rPr>
                <w:rFonts w:ascii="宋体" w:hAnsi="宋体" w:cs="宋体"/>
                <w:color w:val="000000"/>
                <w:kern w:val="0"/>
                <w:sz w:val="18"/>
                <w:szCs w:val="18"/>
              </w:rPr>
            </w:pPr>
            <w:r>
              <w:rPr>
                <w:rFonts w:ascii="宋体" w:hAnsi="宋体" w:cs="宋体" w:hint="eastAsia"/>
                <w:color w:val="000000"/>
                <w:kern w:val="0"/>
                <w:sz w:val="18"/>
                <w:szCs w:val="18"/>
              </w:rPr>
              <w:t>其他符合监管要求的债权类资产</w:t>
            </w:r>
          </w:p>
        </w:tc>
        <w:tc>
          <w:tcPr>
            <w:tcW w:w="1703" w:type="dxa"/>
            <w:vMerge/>
            <w:tcBorders>
              <w:top w:val="nil"/>
              <w:left w:val="single" w:sz="4" w:space="0" w:color="auto"/>
              <w:bottom w:val="single" w:sz="4" w:space="0" w:color="auto"/>
              <w:right w:val="single" w:sz="4" w:space="0" w:color="auto"/>
            </w:tcBorders>
            <w:vAlign w:val="center"/>
          </w:tcPr>
          <w:p w:rsidR="00562CD5" w:rsidRDefault="00562CD5">
            <w:pPr>
              <w:widowControl/>
              <w:jc w:val="left"/>
              <w:rPr>
                <w:rFonts w:ascii="宋体" w:hAnsi="宋体" w:cs="宋体"/>
                <w:color w:val="000000"/>
                <w:kern w:val="0"/>
                <w:sz w:val="18"/>
                <w:szCs w:val="18"/>
              </w:rPr>
            </w:pPr>
          </w:p>
        </w:tc>
      </w:tr>
      <w:tr w:rsidR="00562CD5">
        <w:trPr>
          <w:trHeight w:val="270"/>
          <w:jc w:val="center"/>
        </w:trPr>
        <w:tc>
          <w:tcPr>
            <w:tcW w:w="2081" w:type="dxa"/>
            <w:tcBorders>
              <w:top w:val="nil"/>
              <w:left w:val="single" w:sz="4" w:space="0" w:color="auto"/>
              <w:bottom w:val="single" w:sz="4" w:space="0" w:color="auto"/>
              <w:right w:val="single" w:sz="4" w:space="0" w:color="auto"/>
            </w:tcBorders>
            <w:vAlign w:val="bottom"/>
          </w:tcPr>
          <w:p w:rsidR="00562CD5" w:rsidRDefault="00C528B1">
            <w:pPr>
              <w:widowControl/>
              <w:jc w:val="left"/>
              <w:rPr>
                <w:rFonts w:ascii="宋体" w:hAnsi="宋体" w:cs="宋体"/>
                <w:color w:val="000000"/>
                <w:kern w:val="0"/>
                <w:sz w:val="18"/>
                <w:szCs w:val="18"/>
              </w:rPr>
            </w:pPr>
            <w:r>
              <w:rPr>
                <w:rFonts w:ascii="宋体" w:hAnsi="宋体" w:cs="宋体" w:hint="eastAsia"/>
                <w:color w:val="000000"/>
                <w:kern w:val="0"/>
                <w:sz w:val="18"/>
                <w:szCs w:val="18"/>
              </w:rPr>
              <w:t>权益类资产</w:t>
            </w:r>
          </w:p>
        </w:tc>
        <w:tc>
          <w:tcPr>
            <w:tcW w:w="5616" w:type="dxa"/>
            <w:tcBorders>
              <w:top w:val="nil"/>
              <w:left w:val="nil"/>
              <w:bottom w:val="single" w:sz="4" w:space="0" w:color="auto"/>
              <w:right w:val="single" w:sz="4" w:space="0" w:color="auto"/>
            </w:tcBorders>
            <w:vAlign w:val="bottom"/>
          </w:tcPr>
          <w:p w:rsidR="00562CD5" w:rsidRDefault="00C528B1">
            <w:pPr>
              <w:widowControl/>
              <w:jc w:val="left"/>
              <w:rPr>
                <w:rFonts w:ascii="宋体" w:hAnsi="宋体" w:cs="宋体"/>
                <w:color w:val="000000"/>
                <w:kern w:val="0"/>
                <w:sz w:val="18"/>
                <w:szCs w:val="18"/>
              </w:rPr>
            </w:pPr>
            <w:r>
              <w:rPr>
                <w:rFonts w:ascii="宋体" w:hAnsi="宋体" w:cs="宋体" w:hint="eastAsia"/>
                <w:color w:val="000000"/>
                <w:kern w:val="0"/>
                <w:sz w:val="18"/>
                <w:szCs w:val="18"/>
              </w:rPr>
              <w:t>股票、股票型基金、证券投资基金等</w:t>
            </w:r>
          </w:p>
        </w:tc>
        <w:tc>
          <w:tcPr>
            <w:tcW w:w="1703" w:type="dxa"/>
            <w:tcBorders>
              <w:top w:val="nil"/>
              <w:left w:val="nil"/>
              <w:bottom w:val="single" w:sz="4" w:space="0" w:color="auto"/>
              <w:right w:val="single" w:sz="4" w:space="0" w:color="auto"/>
            </w:tcBorders>
            <w:vAlign w:val="center"/>
          </w:tcPr>
          <w:p w:rsidR="00562CD5" w:rsidRDefault="00C528B1">
            <w:pPr>
              <w:widowControl/>
              <w:jc w:val="center"/>
              <w:rPr>
                <w:rFonts w:ascii="宋体" w:hAnsi="宋体" w:cs="宋体"/>
                <w:color w:val="000000"/>
                <w:kern w:val="0"/>
                <w:sz w:val="18"/>
                <w:szCs w:val="18"/>
              </w:rPr>
            </w:pPr>
            <w:r>
              <w:rPr>
                <w:rFonts w:ascii="宋体" w:hAnsi="宋体" w:cs="宋体" w:hint="eastAsia"/>
                <w:color w:val="000000"/>
                <w:kern w:val="0"/>
                <w:sz w:val="18"/>
                <w:szCs w:val="18"/>
              </w:rPr>
              <w:t>0-20%</w:t>
            </w:r>
          </w:p>
        </w:tc>
      </w:tr>
    </w:tbl>
    <w:p w:rsidR="00562CD5" w:rsidRDefault="00C528B1">
      <w:pPr>
        <w:adjustRightInd w:val="0"/>
        <w:snapToGrid w:val="0"/>
        <w:spacing w:line="286" w:lineRule="auto"/>
        <w:rPr>
          <w:sz w:val="18"/>
          <w:szCs w:val="18"/>
        </w:rPr>
      </w:pPr>
      <w:r>
        <w:rPr>
          <w:rFonts w:hint="eastAsia"/>
          <w:sz w:val="18"/>
          <w:szCs w:val="18"/>
        </w:rPr>
        <w:t>如遇市场变化导致各类投资品投资比例暂时超出以上范围，为保护投资者利益，温州银行将在流动性受限资产可出售、可转让或者恢复交易的</w:t>
      </w:r>
      <w:r>
        <w:rPr>
          <w:rFonts w:hint="eastAsia"/>
          <w:sz w:val="18"/>
          <w:szCs w:val="18"/>
        </w:rPr>
        <w:t>15</w:t>
      </w:r>
      <w:r>
        <w:rPr>
          <w:rFonts w:hint="eastAsia"/>
          <w:sz w:val="18"/>
          <w:szCs w:val="18"/>
        </w:rPr>
        <w:t>个工作日内调整至上述比例范围。</w:t>
      </w:r>
    </w:p>
    <w:p w:rsidR="00562CD5" w:rsidRDefault="00C528B1">
      <w:pPr>
        <w:adjustRightInd w:val="0"/>
        <w:snapToGrid w:val="0"/>
        <w:spacing w:line="286" w:lineRule="auto"/>
        <w:rPr>
          <w:sz w:val="18"/>
          <w:szCs w:val="18"/>
        </w:rPr>
      </w:pPr>
      <w:r>
        <w:rPr>
          <w:rFonts w:hint="eastAsia"/>
          <w:sz w:val="18"/>
          <w:szCs w:val="18"/>
        </w:rPr>
        <w:t>3</w:t>
      </w:r>
      <w:r>
        <w:rPr>
          <w:rFonts w:hint="eastAsia"/>
          <w:sz w:val="18"/>
          <w:szCs w:val="18"/>
        </w:rPr>
        <w:t>、投资策略</w:t>
      </w:r>
    </w:p>
    <w:p w:rsidR="00562CD5" w:rsidRDefault="00C528B1">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rsidR="00562CD5" w:rsidRDefault="00C528B1">
      <w:pPr>
        <w:adjustRightInd w:val="0"/>
        <w:snapToGrid w:val="0"/>
        <w:spacing w:line="281" w:lineRule="auto"/>
        <w:rPr>
          <w:b/>
          <w:sz w:val="18"/>
          <w:szCs w:val="18"/>
        </w:rPr>
      </w:pPr>
      <w:r>
        <w:rPr>
          <w:rFonts w:hint="eastAsia"/>
          <w:b/>
          <w:sz w:val="18"/>
          <w:szCs w:val="18"/>
        </w:rPr>
        <w:t>产品销售</w:t>
      </w:r>
    </w:p>
    <w:p w:rsidR="00562CD5" w:rsidRDefault="00C528B1">
      <w:pPr>
        <w:adjustRightInd w:val="0"/>
        <w:snapToGrid w:val="0"/>
        <w:spacing w:line="281" w:lineRule="auto"/>
        <w:rPr>
          <w:sz w:val="18"/>
          <w:szCs w:val="18"/>
        </w:rPr>
      </w:pPr>
      <w:r>
        <w:rPr>
          <w:rFonts w:hint="eastAsia"/>
          <w:sz w:val="18"/>
          <w:szCs w:val="18"/>
        </w:rPr>
        <w:t>销售地区范围包括浙江省、上海地区等。</w:t>
      </w:r>
    </w:p>
    <w:p w:rsidR="00562CD5" w:rsidRDefault="00C528B1">
      <w:pPr>
        <w:adjustRightInd w:val="0"/>
        <w:snapToGrid w:val="0"/>
        <w:spacing w:line="286" w:lineRule="auto"/>
        <w:rPr>
          <w:b/>
          <w:bCs/>
          <w:sz w:val="18"/>
          <w:szCs w:val="18"/>
        </w:rPr>
      </w:pPr>
      <w:r>
        <w:rPr>
          <w:rFonts w:hint="eastAsia"/>
          <w:b/>
          <w:bCs/>
          <w:sz w:val="18"/>
          <w:szCs w:val="18"/>
        </w:rPr>
        <w:t>投资管理人</w:t>
      </w:r>
    </w:p>
    <w:p w:rsidR="00562CD5" w:rsidRDefault="00C528B1">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w:t>
      </w:r>
    </w:p>
    <w:p w:rsidR="00562CD5" w:rsidRDefault="00C528B1">
      <w:pPr>
        <w:adjustRightInd w:val="0"/>
        <w:snapToGrid w:val="0"/>
        <w:spacing w:line="286" w:lineRule="auto"/>
        <w:rPr>
          <w:b/>
          <w:bCs/>
          <w:sz w:val="18"/>
          <w:szCs w:val="18"/>
        </w:rPr>
      </w:pPr>
      <w:r>
        <w:rPr>
          <w:rFonts w:hint="eastAsia"/>
          <w:b/>
          <w:bCs/>
          <w:sz w:val="18"/>
          <w:szCs w:val="18"/>
        </w:rPr>
        <w:t>理财产品估值</w:t>
      </w:r>
    </w:p>
    <w:p w:rsidR="00562CD5" w:rsidRDefault="00C528B1">
      <w:pPr>
        <w:adjustRightInd w:val="0"/>
        <w:snapToGrid w:val="0"/>
        <w:spacing w:line="286" w:lineRule="auto"/>
        <w:rPr>
          <w:sz w:val="18"/>
          <w:szCs w:val="18"/>
        </w:rPr>
      </w:pPr>
      <w:r>
        <w:rPr>
          <w:rFonts w:hint="eastAsia"/>
          <w:sz w:val="18"/>
          <w:szCs w:val="18"/>
        </w:rPr>
        <w:t>【估值日】</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本理财产品估值日为每个证券交易所的交易日，每周投资管理人和理财托管人核对估值结果，每个开放日结束后</w:t>
      </w:r>
      <w:r>
        <w:rPr>
          <w:rFonts w:hint="eastAsia"/>
          <w:sz w:val="18"/>
          <w:szCs w:val="18"/>
        </w:rPr>
        <w:t>2</w:t>
      </w:r>
      <w:r>
        <w:rPr>
          <w:rFonts w:hint="eastAsia"/>
          <w:sz w:val="18"/>
          <w:szCs w:val="18"/>
        </w:rPr>
        <w:t>日内，披露本理财产品在开放日的估值。（如遇非工作日顺延至下一工作日，具体日期以温州银行公告为准）。</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【估值对象】</w:t>
      </w:r>
    </w:p>
    <w:p w:rsidR="00562CD5" w:rsidRDefault="00C528B1">
      <w:pPr>
        <w:adjustRightInd w:val="0"/>
        <w:snapToGrid w:val="0"/>
        <w:spacing w:line="286" w:lineRule="auto"/>
        <w:rPr>
          <w:sz w:val="18"/>
          <w:szCs w:val="18"/>
        </w:rPr>
      </w:pPr>
      <w:r>
        <w:rPr>
          <w:rFonts w:hint="eastAsia"/>
          <w:sz w:val="18"/>
          <w:szCs w:val="18"/>
        </w:rPr>
        <w:t xml:space="preserve"> </w:t>
      </w:r>
      <w:r>
        <w:rPr>
          <w:rFonts w:hint="eastAsia"/>
          <w:sz w:val="18"/>
          <w:szCs w:val="18"/>
        </w:rPr>
        <w:t>本理财产品所拥有的投资资产。</w:t>
      </w:r>
    </w:p>
    <w:p w:rsidR="00562CD5" w:rsidRDefault="00C528B1">
      <w:pPr>
        <w:adjustRightInd w:val="0"/>
        <w:snapToGrid w:val="0"/>
        <w:spacing w:line="286" w:lineRule="auto"/>
        <w:rPr>
          <w:sz w:val="18"/>
          <w:szCs w:val="18"/>
        </w:rPr>
      </w:pPr>
      <w:r>
        <w:rPr>
          <w:rFonts w:hint="eastAsia"/>
          <w:sz w:val="18"/>
          <w:szCs w:val="18"/>
        </w:rPr>
        <w:t>【估值目的】</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客观、准确反映理财产品的价值。</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【估值方法】</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1</w:t>
      </w:r>
      <w:r>
        <w:rPr>
          <w:rFonts w:hint="eastAsia"/>
          <w:sz w:val="18"/>
          <w:szCs w:val="18"/>
        </w:rPr>
        <w:t>、债券的估值方法</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）以持有到期为目的持有的债券按摊余成本法估值；</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）以交易为目的持有的债券按市价法估值。</w:t>
      </w:r>
    </w:p>
    <w:p w:rsidR="00562CD5" w:rsidRDefault="00C528B1">
      <w:pPr>
        <w:adjustRightInd w:val="0"/>
        <w:snapToGrid w:val="0"/>
        <w:spacing w:line="286" w:lineRule="auto"/>
        <w:rPr>
          <w:sz w:val="18"/>
          <w:szCs w:val="18"/>
        </w:rPr>
      </w:pPr>
      <w:r>
        <w:rPr>
          <w:rFonts w:hint="eastAsia"/>
          <w:sz w:val="18"/>
          <w:szCs w:val="18"/>
        </w:rPr>
        <w:t>2</w:t>
      </w:r>
      <w:r>
        <w:rPr>
          <w:rFonts w:hint="eastAsia"/>
          <w:sz w:val="18"/>
          <w:szCs w:val="18"/>
        </w:rPr>
        <w:t>、货币市场金融工具的估值方法</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lastRenderedPageBreak/>
        <w:t>（</w:t>
      </w:r>
      <w:r>
        <w:rPr>
          <w:rFonts w:hint="eastAsia"/>
          <w:sz w:val="18"/>
          <w:szCs w:val="18"/>
        </w:rPr>
        <w:t>1</w:t>
      </w:r>
      <w:r>
        <w:rPr>
          <w:rFonts w:hint="eastAsia"/>
          <w:sz w:val="18"/>
          <w:szCs w:val="18"/>
        </w:rPr>
        <w:t>）银行存款以本金列示、逐日计提利息；</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）货币基金以当日基金净值估值，以前一交易日的万份收益计提基金收益；</w:t>
      </w:r>
    </w:p>
    <w:p w:rsidR="00562CD5" w:rsidRDefault="00C528B1">
      <w:pPr>
        <w:adjustRightInd w:val="0"/>
        <w:snapToGrid w:val="0"/>
        <w:spacing w:line="286" w:lineRule="auto"/>
        <w:rPr>
          <w:sz w:val="18"/>
          <w:szCs w:val="18"/>
        </w:rPr>
      </w:pPr>
      <w:r>
        <w:rPr>
          <w:rFonts w:hint="eastAsia"/>
          <w:sz w:val="18"/>
          <w:szCs w:val="18"/>
        </w:rPr>
        <w:t>3</w:t>
      </w:r>
      <w:r>
        <w:rPr>
          <w:rFonts w:hint="eastAsia"/>
          <w:sz w:val="18"/>
          <w:szCs w:val="18"/>
        </w:rPr>
        <w:t>、其他资产的估值方法</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其他资产存在公允价值的，按照公允价值估值，公允价值不能确定的按成本估值。</w:t>
      </w:r>
    </w:p>
    <w:p w:rsidR="00562CD5" w:rsidRDefault="00C528B1">
      <w:pPr>
        <w:adjustRightInd w:val="0"/>
        <w:snapToGrid w:val="0"/>
        <w:spacing w:line="286" w:lineRule="auto"/>
        <w:rPr>
          <w:sz w:val="18"/>
          <w:szCs w:val="18"/>
        </w:rPr>
      </w:pPr>
      <w:r>
        <w:rPr>
          <w:rFonts w:hint="eastAsia"/>
          <w:sz w:val="18"/>
          <w:szCs w:val="18"/>
        </w:rPr>
        <w:t>4</w:t>
      </w:r>
      <w:r>
        <w:rPr>
          <w:rFonts w:hint="eastAsia"/>
          <w:sz w:val="18"/>
          <w:szCs w:val="18"/>
        </w:rPr>
        <w:t>、其他</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【估值错误处理】</w:t>
      </w:r>
    </w:p>
    <w:p w:rsidR="00562CD5" w:rsidRDefault="00C528B1">
      <w:pPr>
        <w:adjustRightInd w:val="0"/>
        <w:snapToGrid w:val="0"/>
        <w:spacing w:line="286" w:lineRule="auto"/>
        <w:rPr>
          <w:sz w:val="18"/>
          <w:szCs w:val="18"/>
        </w:rPr>
      </w:pPr>
      <w:r>
        <w:rPr>
          <w:rFonts w:hint="eastAsia"/>
          <w:sz w:val="18"/>
          <w:szCs w:val="18"/>
        </w:rPr>
        <w:t>当产品份额净值小数点后</w:t>
      </w:r>
      <w:r>
        <w:rPr>
          <w:rFonts w:hint="eastAsia"/>
          <w:sz w:val="18"/>
          <w:szCs w:val="18"/>
        </w:rPr>
        <w:t>4</w:t>
      </w:r>
      <w:r>
        <w:rPr>
          <w:rFonts w:hint="eastAsia"/>
          <w:sz w:val="18"/>
          <w:szCs w:val="18"/>
        </w:rPr>
        <w:t>位以内（含第</w:t>
      </w:r>
      <w:r>
        <w:rPr>
          <w:rFonts w:hint="eastAsia"/>
          <w:sz w:val="18"/>
          <w:szCs w:val="18"/>
        </w:rPr>
        <w:t>4</w:t>
      </w:r>
      <w:r>
        <w:rPr>
          <w:rFonts w:hint="eastAsia"/>
          <w:sz w:val="18"/>
          <w:szCs w:val="18"/>
        </w:rPr>
        <w:t>位）发生错误时，视为估值错误。如投资管理人或理财托管人发现资产估值违反本说明书约定的估值方法、程序及相关法律法规的规定或者未能充分维护理财委托人利益或发生估值错误时，应立即通知对方，共同查明原因，协商解决，如经相关各方在平等基础上充分讨论后，仍无法达成一致意见，以投资管理人意见为准。当委托财产估值提交委托人后发现存在错误时，投资管理人和理财托管人应该立即报告理财委托人并及时更正。因估值错误而获得不当得利的当事人负有及时返还不当得利的义务。</w:t>
      </w:r>
    </w:p>
    <w:p w:rsidR="00562CD5" w:rsidRDefault="00C528B1">
      <w:pPr>
        <w:adjustRightInd w:val="0"/>
        <w:snapToGrid w:val="0"/>
        <w:spacing w:line="286" w:lineRule="auto"/>
        <w:rPr>
          <w:b/>
          <w:sz w:val="18"/>
          <w:szCs w:val="18"/>
        </w:rPr>
      </w:pPr>
      <w:r>
        <w:rPr>
          <w:rFonts w:hint="eastAsia"/>
          <w:b/>
          <w:sz w:val="18"/>
          <w:szCs w:val="18"/>
        </w:rPr>
        <w:t>理财收益测算及相关费用</w:t>
      </w:r>
    </w:p>
    <w:p w:rsidR="00562CD5" w:rsidRDefault="00C528B1">
      <w:pPr>
        <w:adjustRightInd w:val="0"/>
        <w:snapToGrid w:val="0"/>
        <w:spacing w:line="286" w:lineRule="auto"/>
        <w:rPr>
          <w:sz w:val="18"/>
          <w:szCs w:val="18"/>
        </w:rPr>
      </w:pPr>
      <w:r>
        <w:rPr>
          <w:rFonts w:hint="eastAsia"/>
          <w:sz w:val="18"/>
          <w:szCs w:val="18"/>
        </w:rPr>
        <w:t>【理财产品单位净值】</w:t>
      </w:r>
    </w:p>
    <w:p w:rsidR="00562CD5" w:rsidRDefault="00C528B1">
      <w:pPr>
        <w:adjustRightInd w:val="0"/>
        <w:snapToGrid w:val="0"/>
        <w:spacing w:line="286" w:lineRule="auto"/>
        <w:rPr>
          <w:sz w:val="18"/>
          <w:szCs w:val="18"/>
        </w:rPr>
      </w:pPr>
      <w:r>
        <w:rPr>
          <w:rFonts w:hint="eastAsia"/>
          <w:sz w:val="18"/>
          <w:szCs w:val="18"/>
        </w:rPr>
        <w:t>理财产品单位净值</w:t>
      </w:r>
      <w:r>
        <w:rPr>
          <w:rFonts w:hint="eastAsia"/>
          <w:sz w:val="18"/>
          <w:szCs w:val="18"/>
        </w:rPr>
        <w:t>=</w:t>
      </w:r>
      <w:r>
        <w:rPr>
          <w:rFonts w:hint="eastAsia"/>
          <w:sz w:val="18"/>
          <w:szCs w:val="18"/>
        </w:rPr>
        <w:t>理财产品净值÷理财产品份额</w:t>
      </w:r>
    </w:p>
    <w:p w:rsidR="00562CD5" w:rsidRDefault="00C528B1">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rsidR="00562CD5" w:rsidRDefault="00C528B1">
      <w:pPr>
        <w:adjustRightInd w:val="0"/>
        <w:snapToGrid w:val="0"/>
        <w:spacing w:line="286" w:lineRule="auto"/>
        <w:rPr>
          <w:sz w:val="18"/>
          <w:szCs w:val="18"/>
        </w:rPr>
      </w:pPr>
      <w:r>
        <w:rPr>
          <w:rFonts w:hint="eastAsia"/>
          <w:sz w:val="18"/>
          <w:szCs w:val="18"/>
        </w:rPr>
        <w:t>【理财计划申购、赎回】</w:t>
      </w:r>
    </w:p>
    <w:p w:rsidR="00562CD5" w:rsidRDefault="00C528B1">
      <w:pPr>
        <w:adjustRightInd w:val="0"/>
        <w:snapToGrid w:val="0"/>
        <w:spacing w:line="286" w:lineRule="auto"/>
        <w:rPr>
          <w:sz w:val="18"/>
          <w:szCs w:val="18"/>
        </w:rPr>
      </w:pPr>
      <w:r>
        <w:rPr>
          <w:sz w:val="18"/>
          <w:szCs w:val="18"/>
        </w:rPr>
        <w:t>1.</w:t>
      </w:r>
      <w:r>
        <w:rPr>
          <w:sz w:val="18"/>
          <w:szCs w:val="18"/>
        </w:rPr>
        <w:t>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日。封闭期为</w:t>
      </w:r>
      <w:r>
        <w:rPr>
          <w:rFonts w:hint="eastAsia"/>
          <w:sz w:val="18"/>
          <w:szCs w:val="18"/>
        </w:rPr>
        <w:t>2020</w:t>
      </w:r>
      <w:r>
        <w:rPr>
          <w:rFonts w:hint="eastAsia"/>
          <w:sz w:val="18"/>
          <w:szCs w:val="18"/>
        </w:rPr>
        <w:t>年</w:t>
      </w:r>
      <w:r>
        <w:rPr>
          <w:rFonts w:hint="eastAsia"/>
          <w:sz w:val="18"/>
          <w:szCs w:val="18"/>
        </w:rPr>
        <w:t>9</w:t>
      </w:r>
      <w:r>
        <w:rPr>
          <w:rFonts w:hint="eastAsia"/>
          <w:sz w:val="18"/>
          <w:szCs w:val="18"/>
        </w:rPr>
        <w:t>月</w:t>
      </w:r>
      <w:r>
        <w:rPr>
          <w:rFonts w:hint="eastAsia"/>
          <w:sz w:val="18"/>
          <w:szCs w:val="18"/>
        </w:rPr>
        <w:t>28</w:t>
      </w:r>
      <w:r>
        <w:rPr>
          <w:rFonts w:hint="eastAsia"/>
          <w:sz w:val="18"/>
          <w:szCs w:val="18"/>
        </w:rPr>
        <w:t>日至</w:t>
      </w:r>
      <w:r>
        <w:rPr>
          <w:rFonts w:hint="eastAsia"/>
          <w:sz w:val="18"/>
          <w:szCs w:val="18"/>
        </w:rPr>
        <w:t>2020</w:t>
      </w:r>
      <w:r>
        <w:rPr>
          <w:rFonts w:hint="eastAsia"/>
          <w:sz w:val="18"/>
          <w:szCs w:val="18"/>
        </w:rPr>
        <w:t>年</w:t>
      </w:r>
      <w:r>
        <w:rPr>
          <w:rFonts w:hint="eastAsia"/>
          <w:sz w:val="18"/>
          <w:szCs w:val="18"/>
        </w:rPr>
        <w:t>10</w:t>
      </w:r>
      <w:r>
        <w:rPr>
          <w:rFonts w:hint="eastAsia"/>
          <w:sz w:val="18"/>
          <w:szCs w:val="18"/>
        </w:rPr>
        <w:t>月</w:t>
      </w:r>
      <w:r>
        <w:rPr>
          <w:rFonts w:hint="eastAsia"/>
          <w:sz w:val="18"/>
          <w:szCs w:val="18"/>
        </w:rPr>
        <w:t>28</w:t>
      </w:r>
      <w:r>
        <w:rPr>
          <w:rFonts w:hint="eastAsia"/>
          <w:sz w:val="18"/>
          <w:szCs w:val="18"/>
        </w:rPr>
        <w:t>日。从封闭期结束后，每</w:t>
      </w:r>
      <w:r>
        <w:rPr>
          <w:rFonts w:ascii="宋体" w:hAnsi="宋体"/>
          <w:sz w:val="18"/>
        </w:rPr>
        <w:t>【</w:t>
      </w:r>
      <w:r>
        <w:rPr>
          <w:rFonts w:ascii="宋体" w:hAnsi="宋体" w:hint="eastAsia"/>
          <w:sz w:val="18"/>
        </w:rPr>
        <w:t>7</w:t>
      </w:r>
      <w:r>
        <w:rPr>
          <w:rFonts w:ascii="宋体" w:hAnsi="宋体"/>
          <w:sz w:val="18"/>
        </w:rPr>
        <w:t>】天</w:t>
      </w:r>
      <w:r>
        <w:rPr>
          <w:rFonts w:hint="eastAsia"/>
          <w:sz w:val="18"/>
          <w:szCs w:val="18"/>
        </w:rPr>
        <w:t>为一个投资运作周期</w:t>
      </w:r>
      <w:r>
        <w:rPr>
          <w:rFonts w:ascii="宋体" w:hAnsi="宋体"/>
          <w:sz w:val="18"/>
        </w:rPr>
        <w:t>，</w:t>
      </w:r>
      <w:r>
        <w:rPr>
          <w:rFonts w:ascii="宋体" w:hAnsi="宋体" w:hint="eastAsia"/>
          <w:sz w:val="18"/>
        </w:rPr>
        <w:t>在本理财计划存续期内开放的其他</w:t>
      </w:r>
      <w:r>
        <w:rPr>
          <w:rFonts w:ascii="宋体" w:hAnsi="宋体"/>
          <w:sz w:val="18"/>
        </w:rPr>
        <w:t>投资周期可能会因非工作日调整大于或小于【</w:t>
      </w:r>
      <w:r>
        <w:rPr>
          <w:rFonts w:ascii="宋体" w:hAnsi="宋体" w:hint="eastAsia"/>
          <w:sz w:val="18"/>
        </w:rPr>
        <w:t>7</w:t>
      </w:r>
      <w:r>
        <w:rPr>
          <w:rFonts w:ascii="宋体" w:hAnsi="宋体"/>
          <w:sz w:val="18"/>
        </w:rPr>
        <w:t>】天</w:t>
      </w:r>
      <w:r>
        <w:rPr>
          <w:rFonts w:hint="eastAsia"/>
          <w:sz w:val="18"/>
          <w:szCs w:val="18"/>
        </w:rPr>
        <w:t>。</w:t>
      </w:r>
    </w:p>
    <w:p w:rsidR="00562CD5" w:rsidRDefault="00C528B1">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rsidR="00562CD5" w:rsidRDefault="00C528B1">
      <w:pPr>
        <w:adjustRightInd w:val="0"/>
        <w:snapToGrid w:val="0"/>
        <w:spacing w:line="286" w:lineRule="auto"/>
        <w:rPr>
          <w:sz w:val="18"/>
          <w:szCs w:val="18"/>
        </w:rPr>
      </w:pPr>
      <w:r>
        <w:rPr>
          <w:sz w:val="18"/>
          <w:szCs w:val="18"/>
        </w:rPr>
        <w:t>3.</w:t>
      </w:r>
      <w:r>
        <w:rPr>
          <w:rFonts w:hint="eastAsia"/>
          <w:sz w:val="18"/>
          <w:szCs w:val="18"/>
        </w:rPr>
        <w:t>申购、赎回原则</w:t>
      </w:r>
    </w:p>
    <w:p w:rsidR="00562CD5" w:rsidRDefault="00C528B1">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rsidR="00562CD5" w:rsidRDefault="00C528B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rsidR="00562CD5" w:rsidRDefault="00C528B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rsidR="00562CD5" w:rsidRDefault="00C528B1">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rsidR="00562CD5" w:rsidRDefault="00C528B1">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w:t>
      </w:r>
      <w:r>
        <w:rPr>
          <w:rFonts w:hint="eastAsia"/>
          <w:sz w:val="18"/>
          <w:szCs w:val="18"/>
        </w:rPr>
        <w:t>1</w:t>
      </w:r>
      <w:r>
        <w:rPr>
          <w:sz w:val="18"/>
          <w:szCs w:val="18"/>
        </w:rPr>
        <w:t>0%</w:t>
      </w:r>
      <w:r>
        <w:rPr>
          <w:sz w:val="18"/>
          <w:szCs w:val="18"/>
        </w:rPr>
        <w:t>，则发生</w:t>
      </w:r>
      <w:r>
        <w:rPr>
          <w:rFonts w:hint="eastAsia"/>
          <w:sz w:val="18"/>
          <w:szCs w:val="18"/>
        </w:rPr>
        <w:t>巨额赎回事件，温州银行有权拒绝接受超过</w:t>
      </w:r>
      <w:r>
        <w:rPr>
          <w:rFonts w:hint="eastAsia"/>
          <w:sz w:val="18"/>
          <w:szCs w:val="18"/>
        </w:rPr>
        <w:t>1</w:t>
      </w:r>
      <w:r>
        <w:rPr>
          <w:sz w:val="18"/>
          <w:szCs w:val="18"/>
        </w:rPr>
        <w:t>0%</w:t>
      </w:r>
      <w:r>
        <w:rPr>
          <w:sz w:val="18"/>
          <w:szCs w:val="18"/>
        </w:rPr>
        <w:t>以上部分的赎回申请。</w:t>
      </w:r>
    </w:p>
    <w:p w:rsidR="00562CD5" w:rsidRDefault="00C528B1">
      <w:pPr>
        <w:adjustRightInd w:val="0"/>
        <w:snapToGrid w:val="0"/>
        <w:spacing w:line="286" w:lineRule="auto"/>
        <w:rPr>
          <w:sz w:val="18"/>
          <w:szCs w:val="18"/>
        </w:rPr>
      </w:pPr>
      <w:r>
        <w:rPr>
          <w:rFonts w:hint="eastAsia"/>
          <w:sz w:val="18"/>
          <w:szCs w:val="18"/>
        </w:rPr>
        <w:t>示例：如果最新理财计划总存续份额为</w:t>
      </w:r>
      <w:r>
        <w:rPr>
          <w:rFonts w:hint="eastAsia"/>
          <w:sz w:val="18"/>
          <w:szCs w:val="18"/>
        </w:rPr>
        <w:t>1</w:t>
      </w:r>
      <w:r>
        <w:rPr>
          <w:sz w:val="18"/>
          <w:szCs w:val="18"/>
        </w:rPr>
        <w:t>0</w:t>
      </w:r>
      <w:r>
        <w:rPr>
          <w:rFonts w:hint="eastAsia"/>
          <w:sz w:val="18"/>
          <w:szCs w:val="18"/>
        </w:rPr>
        <w:t>亿份，在开放期内投资者净赎回达到</w:t>
      </w:r>
      <w:r>
        <w:rPr>
          <w:rFonts w:hint="eastAsia"/>
          <w:sz w:val="18"/>
          <w:szCs w:val="18"/>
        </w:rPr>
        <w:t>1</w:t>
      </w:r>
      <w:r>
        <w:rPr>
          <w:rFonts w:hint="eastAsia"/>
          <w:sz w:val="18"/>
          <w:szCs w:val="18"/>
        </w:rPr>
        <w:t>亿份，温州银行有权拒绝确认</w:t>
      </w:r>
      <w:r>
        <w:rPr>
          <w:rFonts w:hint="eastAsia"/>
          <w:sz w:val="18"/>
          <w:szCs w:val="18"/>
        </w:rPr>
        <w:t>1</w:t>
      </w:r>
      <w:r>
        <w:rPr>
          <w:rFonts w:hint="eastAsia"/>
          <w:sz w:val="18"/>
          <w:szCs w:val="18"/>
        </w:rPr>
        <w:t>亿份之后的赎回申请，相应的投资者当期无法赎回理财计划份额。</w:t>
      </w:r>
    </w:p>
    <w:p w:rsidR="00562CD5" w:rsidRDefault="00C528B1">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rsidR="00562CD5" w:rsidRDefault="00C528B1">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sidR="006E1462">
        <w:rPr>
          <w:sz w:val="18"/>
          <w:szCs w:val="18"/>
        </w:rPr>
        <w:fldChar w:fldCharType="begin"/>
      </w:r>
      <w:r>
        <w:rPr>
          <w:sz w:val="18"/>
          <w:szCs w:val="18"/>
        </w:rPr>
        <w:instrText xml:space="preserve"> MERGEFIELD </w:instrText>
      </w:r>
      <w:r>
        <w:rPr>
          <w:rFonts w:hint="eastAsia"/>
          <w:sz w:val="18"/>
          <w:szCs w:val="18"/>
        </w:rPr>
        <w:instrText>认购起点</w:instrText>
      </w:r>
      <w:r w:rsidR="006E1462">
        <w:rPr>
          <w:sz w:val="18"/>
          <w:szCs w:val="18"/>
        </w:rPr>
        <w:fldChar w:fldCharType="separate"/>
      </w:r>
      <w:r>
        <w:rPr>
          <w:sz w:val="18"/>
          <w:szCs w:val="18"/>
        </w:rPr>
        <w:t>1</w:t>
      </w:r>
      <w:r>
        <w:rPr>
          <w:rFonts w:hint="eastAsia"/>
          <w:sz w:val="18"/>
          <w:szCs w:val="18"/>
        </w:rPr>
        <w:t>万</w:t>
      </w:r>
      <w:r w:rsidR="006E1462">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rsidR="00562CD5" w:rsidRDefault="00C528B1">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rsidR="00562CD5" w:rsidRDefault="00C528B1">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sidR="006E1462">
        <w:rPr>
          <w:sz w:val="18"/>
          <w:szCs w:val="18"/>
        </w:rPr>
        <w:fldChar w:fldCharType="begin"/>
      </w:r>
      <w:r>
        <w:rPr>
          <w:sz w:val="18"/>
          <w:szCs w:val="18"/>
        </w:rPr>
        <w:instrText xml:space="preserve"> MERGEFIELD </w:instrText>
      </w:r>
      <w:r>
        <w:rPr>
          <w:rFonts w:hint="eastAsia"/>
          <w:sz w:val="18"/>
          <w:szCs w:val="18"/>
        </w:rPr>
        <w:instrText>余额起点</w:instrText>
      </w:r>
      <w:r w:rsidR="006E1462">
        <w:rPr>
          <w:sz w:val="18"/>
          <w:szCs w:val="18"/>
        </w:rPr>
        <w:fldChar w:fldCharType="end"/>
      </w:r>
      <w:r>
        <w:rPr>
          <w:rFonts w:hint="eastAsia"/>
          <w:sz w:val="18"/>
          <w:szCs w:val="18"/>
        </w:rPr>
        <w:t>份时，投资者剩余份额将被一次性全额赎回。</w:t>
      </w:r>
    </w:p>
    <w:p w:rsidR="00562CD5" w:rsidRDefault="00C528B1">
      <w:pPr>
        <w:adjustRightInd w:val="0"/>
        <w:snapToGrid w:val="0"/>
        <w:spacing w:line="286" w:lineRule="auto"/>
        <w:rPr>
          <w:sz w:val="18"/>
          <w:szCs w:val="18"/>
        </w:rPr>
      </w:pPr>
      <w:r>
        <w:rPr>
          <w:sz w:val="18"/>
          <w:szCs w:val="18"/>
        </w:rPr>
        <w:t>5.</w:t>
      </w:r>
      <w:r>
        <w:rPr>
          <w:rFonts w:hint="eastAsia"/>
          <w:sz w:val="18"/>
          <w:szCs w:val="18"/>
        </w:rPr>
        <w:t>申购、赎回程序</w:t>
      </w:r>
    </w:p>
    <w:p w:rsidR="00562CD5" w:rsidRDefault="00C528B1">
      <w:pPr>
        <w:adjustRightInd w:val="0"/>
        <w:snapToGrid w:val="0"/>
        <w:spacing w:line="286" w:lineRule="auto"/>
        <w:rPr>
          <w:sz w:val="18"/>
          <w:szCs w:val="18"/>
        </w:rPr>
      </w:pPr>
      <w:r>
        <w:rPr>
          <w:rFonts w:hint="eastAsia"/>
          <w:sz w:val="18"/>
          <w:szCs w:val="18"/>
        </w:rPr>
        <w:t>（</w:t>
      </w:r>
      <w:r>
        <w:rPr>
          <w:sz w:val="18"/>
          <w:szCs w:val="18"/>
        </w:rPr>
        <w:t>1</w:t>
      </w:r>
      <w:r>
        <w:rPr>
          <w:sz w:val="18"/>
          <w:szCs w:val="18"/>
        </w:rPr>
        <w:t>）申购、赎回的申请方式</w:t>
      </w:r>
    </w:p>
    <w:p w:rsidR="00562CD5" w:rsidRDefault="00C528B1">
      <w:pPr>
        <w:adjustRightInd w:val="0"/>
        <w:snapToGrid w:val="0"/>
        <w:spacing w:line="286" w:lineRule="auto"/>
        <w:rPr>
          <w:sz w:val="18"/>
          <w:szCs w:val="18"/>
        </w:rPr>
      </w:pPr>
      <w:r>
        <w:rPr>
          <w:rFonts w:hint="eastAsia"/>
          <w:sz w:val="18"/>
          <w:szCs w:val="18"/>
        </w:rPr>
        <w:t>投资者必须在开放期内提出申购、赎回的申请。</w:t>
      </w:r>
    </w:p>
    <w:p w:rsidR="00562CD5" w:rsidRDefault="00C528B1">
      <w:pPr>
        <w:adjustRightInd w:val="0"/>
        <w:snapToGrid w:val="0"/>
        <w:spacing w:line="286" w:lineRule="auto"/>
        <w:rPr>
          <w:sz w:val="18"/>
          <w:szCs w:val="18"/>
        </w:rPr>
      </w:pPr>
      <w:r>
        <w:rPr>
          <w:rFonts w:hint="eastAsia"/>
          <w:sz w:val="18"/>
          <w:szCs w:val="18"/>
        </w:rPr>
        <w:t>投资者在提交申购申请时，须备足申购资金。</w:t>
      </w:r>
    </w:p>
    <w:p w:rsidR="00562CD5" w:rsidRDefault="00C528B1">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）申购、赎回的支付</w:t>
      </w:r>
    </w:p>
    <w:p w:rsidR="00562CD5" w:rsidRDefault="00C528B1">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xml:space="preserve">　</w:t>
      </w:r>
    </w:p>
    <w:p w:rsidR="00562CD5" w:rsidRDefault="00C528B1">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确认投资者赎回成功后，温州银行在赎回清算日将为投资者扣减份额，并将投资者应得的赎回资金（如有，下同）于赎回日后</w:t>
      </w:r>
      <w:r>
        <w:rPr>
          <w:sz w:val="18"/>
          <w:szCs w:val="18"/>
        </w:rPr>
        <w:t>3</w:t>
      </w:r>
      <w:r>
        <w:rPr>
          <w:rFonts w:hint="eastAsia"/>
          <w:sz w:val="18"/>
          <w:szCs w:val="18"/>
        </w:rPr>
        <w:t>个工作日内划转至投资者账户。</w:t>
      </w:r>
    </w:p>
    <w:p w:rsidR="00562CD5" w:rsidRDefault="00C528B1">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）申购份额的计算</w:t>
      </w:r>
    </w:p>
    <w:p w:rsidR="00562CD5" w:rsidRDefault="00C528B1">
      <w:pPr>
        <w:adjustRightInd w:val="0"/>
        <w:snapToGrid w:val="0"/>
        <w:spacing w:line="286" w:lineRule="auto"/>
        <w:rPr>
          <w:sz w:val="18"/>
          <w:szCs w:val="18"/>
        </w:rPr>
      </w:pPr>
      <w:r>
        <w:rPr>
          <w:rFonts w:hint="eastAsia"/>
          <w:sz w:val="18"/>
          <w:szCs w:val="18"/>
        </w:rPr>
        <w:lastRenderedPageBreak/>
        <w:t>本理财计划申购份额的具体计算方法如下：</w:t>
      </w:r>
    </w:p>
    <w:p w:rsidR="00562CD5" w:rsidRDefault="00C528B1">
      <w:pPr>
        <w:adjustRightInd w:val="0"/>
        <w:snapToGrid w:val="0"/>
        <w:spacing w:line="286" w:lineRule="auto"/>
        <w:rPr>
          <w:sz w:val="18"/>
          <w:szCs w:val="18"/>
        </w:rPr>
      </w:pPr>
      <w:r>
        <w:rPr>
          <w:rFonts w:hint="eastAsia"/>
          <w:sz w:val="18"/>
          <w:szCs w:val="18"/>
        </w:rPr>
        <w:t>申购份额＝申购金额÷申购确认日前一日理财计划份额净值</w:t>
      </w:r>
    </w:p>
    <w:p w:rsidR="00562CD5" w:rsidRDefault="00C528B1">
      <w:pPr>
        <w:adjustRightInd w:val="0"/>
        <w:snapToGrid w:val="0"/>
        <w:spacing w:line="286" w:lineRule="auto"/>
        <w:rPr>
          <w:sz w:val="18"/>
          <w:szCs w:val="18"/>
        </w:rPr>
      </w:pPr>
      <w:r>
        <w:rPr>
          <w:rFonts w:hint="eastAsia"/>
          <w:sz w:val="18"/>
          <w:szCs w:val="18"/>
        </w:rPr>
        <w:t>申购费：本理财计划不收取申购费。</w:t>
      </w:r>
    </w:p>
    <w:p w:rsidR="00562CD5" w:rsidRDefault="00C528B1">
      <w:pPr>
        <w:adjustRightInd w:val="0"/>
        <w:snapToGrid w:val="0"/>
        <w:spacing w:line="286" w:lineRule="auto"/>
        <w:rPr>
          <w:sz w:val="18"/>
          <w:szCs w:val="18"/>
        </w:rPr>
      </w:pPr>
      <w:r>
        <w:rPr>
          <w:rFonts w:hint="eastAsia"/>
          <w:sz w:val="18"/>
          <w:szCs w:val="18"/>
        </w:rPr>
        <w:t>申购份额保留至小数点后</w:t>
      </w:r>
      <w:r>
        <w:rPr>
          <w:rFonts w:hint="eastAsia"/>
          <w:sz w:val="18"/>
          <w:szCs w:val="18"/>
        </w:rPr>
        <w:t>2</w:t>
      </w:r>
      <w:r>
        <w:rPr>
          <w:rFonts w:hint="eastAsia"/>
          <w:sz w:val="18"/>
          <w:szCs w:val="18"/>
        </w:rPr>
        <w:t>位（保留</w:t>
      </w:r>
      <w:r>
        <w:rPr>
          <w:rFonts w:hint="eastAsia"/>
          <w:sz w:val="18"/>
          <w:szCs w:val="18"/>
        </w:rPr>
        <w:t>2</w:t>
      </w:r>
      <w:r>
        <w:rPr>
          <w:rFonts w:hint="eastAsia"/>
          <w:sz w:val="18"/>
          <w:szCs w:val="18"/>
        </w:rPr>
        <w:t>位小数，</w:t>
      </w:r>
      <w:r>
        <w:rPr>
          <w:rFonts w:hint="eastAsia"/>
          <w:sz w:val="18"/>
          <w:szCs w:val="18"/>
        </w:rPr>
        <w:t>2</w:t>
      </w:r>
      <w:r>
        <w:rPr>
          <w:rFonts w:hint="eastAsia"/>
          <w:sz w:val="18"/>
          <w:szCs w:val="18"/>
        </w:rPr>
        <w:t>位小数点后四舍五入）。</w:t>
      </w:r>
    </w:p>
    <w:p w:rsidR="00562CD5" w:rsidRDefault="00C528B1">
      <w:pPr>
        <w:adjustRightInd w:val="0"/>
        <w:snapToGrid w:val="0"/>
        <w:spacing w:line="286" w:lineRule="auto"/>
        <w:rPr>
          <w:sz w:val="18"/>
          <w:szCs w:val="18"/>
        </w:rPr>
      </w:pPr>
      <w:r>
        <w:rPr>
          <w:rFonts w:hint="eastAsia"/>
          <w:sz w:val="18"/>
          <w:szCs w:val="18"/>
        </w:rPr>
        <w:t>示例：假定某投资者投资</w:t>
      </w:r>
      <w:r>
        <w:rPr>
          <w:rFonts w:hint="eastAsia"/>
          <w:sz w:val="18"/>
          <w:szCs w:val="18"/>
        </w:rPr>
        <w:t>100</w:t>
      </w:r>
      <w:r>
        <w:rPr>
          <w:rFonts w:hint="eastAsia"/>
          <w:sz w:val="18"/>
          <w:szCs w:val="18"/>
        </w:rPr>
        <w:t>万元人民币申购本理财计划，理财计划份额净值为</w:t>
      </w:r>
      <w:r>
        <w:rPr>
          <w:rFonts w:hint="eastAsia"/>
          <w:sz w:val="18"/>
          <w:szCs w:val="18"/>
        </w:rPr>
        <w:t xml:space="preserve"> 1.0250</w:t>
      </w:r>
      <w:r>
        <w:rPr>
          <w:rFonts w:hint="eastAsia"/>
          <w:sz w:val="18"/>
          <w:szCs w:val="18"/>
        </w:rPr>
        <w:t>元人民币，则其可得到的申购份额和应支付的申购费计算如下：</w:t>
      </w:r>
    </w:p>
    <w:p w:rsidR="00562CD5" w:rsidRDefault="00C528B1">
      <w:pPr>
        <w:adjustRightInd w:val="0"/>
        <w:snapToGrid w:val="0"/>
        <w:spacing w:line="286" w:lineRule="auto"/>
        <w:rPr>
          <w:sz w:val="18"/>
          <w:szCs w:val="18"/>
        </w:rPr>
      </w:pPr>
      <w:r>
        <w:rPr>
          <w:rFonts w:hint="eastAsia"/>
          <w:sz w:val="18"/>
          <w:szCs w:val="18"/>
        </w:rPr>
        <w:t>申购份数＝</w:t>
      </w:r>
      <w:r>
        <w:rPr>
          <w:rFonts w:hint="eastAsia"/>
          <w:sz w:val="18"/>
          <w:szCs w:val="18"/>
        </w:rPr>
        <w:t>100</w:t>
      </w:r>
      <w:r>
        <w:rPr>
          <w:rFonts w:hint="eastAsia"/>
          <w:sz w:val="18"/>
          <w:szCs w:val="18"/>
        </w:rPr>
        <w:t>万元人民币÷</w:t>
      </w:r>
      <w:r>
        <w:rPr>
          <w:rFonts w:hint="eastAsia"/>
          <w:sz w:val="18"/>
          <w:szCs w:val="18"/>
        </w:rPr>
        <w:t>1.0250</w:t>
      </w:r>
      <w:r>
        <w:rPr>
          <w:rFonts w:hint="eastAsia"/>
          <w:sz w:val="18"/>
          <w:szCs w:val="18"/>
        </w:rPr>
        <w:t>＝</w:t>
      </w:r>
      <w:r>
        <w:rPr>
          <w:rFonts w:hint="eastAsia"/>
          <w:sz w:val="18"/>
          <w:szCs w:val="18"/>
        </w:rPr>
        <w:t>975609.76</w:t>
      </w:r>
      <w:r>
        <w:rPr>
          <w:rFonts w:hint="eastAsia"/>
          <w:sz w:val="18"/>
          <w:szCs w:val="18"/>
        </w:rPr>
        <w:t>份</w:t>
      </w:r>
    </w:p>
    <w:p w:rsidR="00562CD5" w:rsidRDefault="00C528B1">
      <w:pPr>
        <w:adjustRightInd w:val="0"/>
        <w:snapToGrid w:val="0"/>
        <w:spacing w:line="286" w:lineRule="auto"/>
        <w:rPr>
          <w:sz w:val="18"/>
          <w:szCs w:val="18"/>
        </w:rPr>
      </w:pPr>
      <w:r>
        <w:rPr>
          <w:rFonts w:hint="eastAsia"/>
          <w:sz w:val="18"/>
          <w:szCs w:val="18"/>
        </w:rPr>
        <w:t>申购费＝</w:t>
      </w:r>
      <w:r>
        <w:rPr>
          <w:rFonts w:hint="eastAsia"/>
          <w:sz w:val="18"/>
          <w:szCs w:val="18"/>
        </w:rPr>
        <w:t>100</w:t>
      </w:r>
      <w:r>
        <w:rPr>
          <w:rFonts w:hint="eastAsia"/>
          <w:sz w:val="18"/>
          <w:szCs w:val="18"/>
        </w:rPr>
        <w:t>万元人民币×</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2</w:t>
      </w:r>
      <w:r>
        <w:rPr>
          <w:sz w:val="18"/>
          <w:szCs w:val="18"/>
        </w:rPr>
        <w:t>）</w:t>
      </w:r>
      <w:r>
        <w:rPr>
          <w:rFonts w:hint="eastAsia"/>
          <w:sz w:val="18"/>
          <w:szCs w:val="18"/>
        </w:rPr>
        <w:t>理财计划赎回金额的计算</w:t>
      </w:r>
    </w:p>
    <w:p w:rsidR="00562CD5" w:rsidRDefault="00C528B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w:t>
      </w:r>
      <w:r>
        <w:rPr>
          <w:rFonts w:hint="eastAsia"/>
          <w:sz w:val="18"/>
          <w:szCs w:val="18"/>
        </w:rPr>
        <w:t>,</w:t>
      </w:r>
      <w:r>
        <w:rPr>
          <w:rFonts w:hint="eastAsia"/>
          <w:sz w:val="18"/>
          <w:szCs w:val="18"/>
        </w:rPr>
        <w:t>计算公式如下：</w:t>
      </w:r>
    </w:p>
    <w:p w:rsidR="00562CD5" w:rsidRDefault="00C528B1">
      <w:pPr>
        <w:adjustRightInd w:val="0"/>
        <w:snapToGrid w:val="0"/>
        <w:spacing w:line="286" w:lineRule="auto"/>
        <w:rPr>
          <w:sz w:val="18"/>
          <w:szCs w:val="18"/>
        </w:rPr>
      </w:pPr>
      <w:r>
        <w:rPr>
          <w:rFonts w:hint="eastAsia"/>
          <w:sz w:val="18"/>
          <w:szCs w:val="18"/>
        </w:rPr>
        <w:t>赎回金额＝总赎回份额×赎回清算日前一日理财计划单位净值</w:t>
      </w:r>
    </w:p>
    <w:p w:rsidR="00562CD5" w:rsidRDefault="00C528B1">
      <w:pPr>
        <w:adjustRightInd w:val="0"/>
        <w:snapToGrid w:val="0"/>
        <w:spacing w:line="286" w:lineRule="auto"/>
        <w:rPr>
          <w:sz w:val="18"/>
          <w:szCs w:val="18"/>
        </w:rPr>
      </w:pPr>
      <w:r>
        <w:rPr>
          <w:rFonts w:hint="eastAsia"/>
          <w:sz w:val="18"/>
          <w:szCs w:val="18"/>
        </w:rPr>
        <w:t>（赎回金额保留</w:t>
      </w:r>
      <w:r>
        <w:rPr>
          <w:rFonts w:hint="eastAsia"/>
          <w:sz w:val="18"/>
          <w:szCs w:val="18"/>
        </w:rPr>
        <w:t>2</w:t>
      </w:r>
      <w:r>
        <w:rPr>
          <w:rFonts w:hint="eastAsia"/>
          <w:sz w:val="18"/>
          <w:szCs w:val="18"/>
        </w:rPr>
        <w:t>位小数，</w:t>
      </w:r>
      <w:r>
        <w:rPr>
          <w:sz w:val="18"/>
          <w:szCs w:val="18"/>
        </w:rPr>
        <w:t>2</w:t>
      </w:r>
      <w:r>
        <w:rPr>
          <w:sz w:val="18"/>
          <w:szCs w:val="18"/>
        </w:rPr>
        <w:t>位小数点后</w:t>
      </w:r>
      <w:r>
        <w:rPr>
          <w:rFonts w:hint="eastAsia"/>
          <w:sz w:val="18"/>
          <w:szCs w:val="18"/>
        </w:rPr>
        <w:t>四舍五入</w:t>
      </w:r>
      <w:r>
        <w:rPr>
          <w:sz w:val="18"/>
          <w:szCs w:val="18"/>
        </w:rPr>
        <w:t>）</w:t>
      </w:r>
    </w:p>
    <w:p w:rsidR="00562CD5" w:rsidRDefault="00C528B1">
      <w:pPr>
        <w:adjustRightInd w:val="0"/>
        <w:snapToGrid w:val="0"/>
        <w:spacing w:line="286" w:lineRule="auto"/>
        <w:rPr>
          <w:sz w:val="18"/>
          <w:szCs w:val="18"/>
        </w:rPr>
      </w:pPr>
      <w:r>
        <w:rPr>
          <w:rFonts w:hint="eastAsia"/>
          <w:sz w:val="18"/>
          <w:szCs w:val="18"/>
        </w:rPr>
        <w:t>赎回费＝赎回金额×赎回费率</w:t>
      </w:r>
    </w:p>
    <w:p w:rsidR="00562CD5" w:rsidRDefault="00C528B1">
      <w:pPr>
        <w:adjustRightInd w:val="0"/>
        <w:snapToGrid w:val="0"/>
        <w:spacing w:line="286" w:lineRule="auto"/>
        <w:rPr>
          <w:sz w:val="18"/>
          <w:szCs w:val="18"/>
        </w:rPr>
      </w:pPr>
      <w:r>
        <w:rPr>
          <w:rFonts w:hint="eastAsia"/>
          <w:sz w:val="18"/>
          <w:szCs w:val="18"/>
        </w:rPr>
        <w:t>赎回费率为【</w:t>
      </w:r>
      <w:r>
        <w:rPr>
          <w:rFonts w:hint="eastAsia"/>
          <w:sz w:val="18"/>
          <w:szCs w:val="18"/>
        </w:rPr>
        <w:t>0</w:t>
      </w:r>
      <w:r>
        <w:rPr>
          <w:rFonts w:hint="eastAsia"/>
          <w:sz w:val="18"/>
          <w:szCs w:val="18"/>
        </w:rPr>
        <w:t>】</w:t>
      </w:r>
    </w:p>
    <w:p w:rsidR="00562CD5" w:rsidRDefault="00C528B1">
      <w:pPr>
        <w:adjustRightInd w:val="0"/>
        <w:snapToGrid w:val="0"/>
        <w:spacing w:line="286" w:lineRule="auto"/>
        <w:rPr>
          <w:sz w:val="18"/>
          <w:szCs w:val="18"/>
        </w:rPr>
      </w:pPr>
      <w:r>
        <w:rPr>
          <w:rFonts w:hint="eastAsia"/>
          <w:sz w:val="18"/>
          <w:szCs w:val="18"/>
        </w:rPr>
        <w:t>投资者应得赎回资金＝赎回金额－赎回费</w:t>
      </w:r>
    </w:p>
    <w:p w:rsidR="00562CD5" w:rsidRDefault="00C528B1">
      <w:pPr>
        <w:adjustRightInd w:val="0"/>
        <w:snapToGrid w:val="0"/>
        <w:spacing w:line="286" w:lineRule="auto"/>
        <w:rPr>
          <w:sz w:val="18"/>
          <w:szCs w:val="18"/>
        </w:rPr>
      </w:pPr>
      <w:r>
        <w:rPr>
          <w:rFonts w:hint="eastAsia"/>
          <w:sz w:val="18"/>
          <w:szCs w:val="18"/>
        </w:rPr>
        <w:t>示例：假定某投资者赎回</w:t>
      </w:r>
      <w:r>
        <w:rPr>
          <w:rFonts w:hint="eastAsia"/>
          <w:sz w:val="18"/>
          <w:szCs w:val="18"/>
        </w:rPr>
        <w:t>100000</w:t>
      </w:r>
      <w:r>
        <w:rPr>
          <w:rFonts w:hint="eastAsia"/>
          <w:sz w:val="18"/>
          <w:szCs w:val="18"/>
        </w:rPr>
        <w:t>份理财计划份额，理财计划份额净值为</w:t>
      </w:r>
      <w:r>
        <w:rPr>
          <w:rFonts w:hint="eastAsia"/>
          <w:sz w:val="18"/>
          <w:szCs w:val="18"/>
        </w:rPr>
        <w:t>1.0530</w:t>
      </w:r>
      <w:r>
        <w:rPr>
          <w:rFonts w:hint="eastAsia"/>
          <w:sz w:val="18"/>
          <w:szCs w:val="18"/>
        </w:rPr>
        <w:t>元人民币时赎回。</w:t>
      </w:r>
    </w:p>
    <w:p w:rsidR="00562CD5" w:rsidRDefault="00C528B1">
      <w:pPr>
        <w:adjustRightInd w:val="0"/>
        <w:snapToGrid w:val="0"/>
        <w:spacing w:line="286" w:lineRule="auto"/>
        <w:rPr>
          <w:sz w:val="18"/>
          <w:szCs w:val="18"/>
        </w:rPr>
      </w:pPr>
      <w:r>
        <w:rPr>
          <w:rFonts w:hint="eastAsia"/>
          <w:sz w:val="18"/>
          <w:szCs w:val="18"/>
        </w:rPr>
        <w:t>赎回金额＝</w:t>
      </w:r>
      <w:r>
        <w:rPr>
          <w:rFonts w:hint="eastAsia"/>
          <w:sz w:val="18"/>
          <w:szCs w:val="18"/>
        </w:rPr>
        <w:t>100000</w:t>
      </w:r>
      <w:r>
        <w:rPr>
          <w:rFonts w:hint="eastAsia"/>
          <w:sz w:val="18"/>
          <w:szCs w:val="18"/>
        </w:rPr>
        <w:t>×</w:t>
      </w:r>
      <w:r>
        <w:rPr>
          <w:rFonts w:hint="eastAsia"/>
          <w:sz w:val="18"/>
          <w:szCs w:val="18"/>
        </w:rPr>
        <w:t>1.0530</w:t>
      </w:r>
      <w:r>
        <w:rPr>
          <w:rFonts w:hint="eastAsia"/>
          <w:sz w:val="18"/>
          <w:szCs w:val="18"/>
        </w:rPr>
        <w:t>＝</w:t>
      </w:r>
      <w:r>
        <w:rPr>
          <w:rFonts w:hint="eastAsia"/>
          <w:sz w:val="18"/>
          <w:szCs w:val="18"/>
        </w:rPr>
        <w:t>105300</w:t>
      </w:r>
      <w:r>
        <w:rPr>
          <w:rFonts w:hint="eastAsia"/>
          <w:sz w:val="18"/>
          <w:szCs w:val="18"/>
        </w:rPr>
        <w:t>元人民币</w:t>
      </w:r>
    </w:p>
    <w:p w:rsidR="00562CD5" w:rsidRDefault="00C528B1">
      <w:pPr>
        <w:adjustRightInd w:val="0"/>
        <w:snapToGrid w:val="0"/>
        <w:spacing w:line="286" w:lineRule="auto"/>
        <w:rPr>
          <w:sz w:val="18"/>
          <w:szCs w:val="18"/>
        </w:rPr>
      </w:pPr>
      <w:r>
        <w:rPr>
          <w:rFonts w:hint="eastAsia"/>
          <w:sz w:val="18"/>
          <w:szCs w:val="18"/>
        </w:rPr>
        <w:t>赎回费＝</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rFonts w:hint="eastAsia"/>
          <w:sz w:val="18"/>
          <w:szCs w:val="18"/>
        </w:rPr>
        <w:t>0</w:t>
      </w:r>
      <w:r>
        <w:rPr>
          <w:rFonts w:hint="eastAsia"/>
          <w:sz w:val="18"/>
          <w:szCs w:val="18"/>
        </w:rPr>
        <w:t>元人民币</w:t>
      </w:r>
    </w:p>
    <w:p w:rsidR="00562CD5" w:rsidRDefault="00C528B1">
      <w:pPr>
        <w:adjustRightInd w:val="0"/>
        <w:snapToGrid w:val="0"/>
        <w:spacing w:line="286" w:lineRule="auto"/>
        <w:rPr>
          <w:sz w:val="18"/>
          <w:szCs w:val="18"/>
        </w:rPr>
      </w:pPr>
      <w:r>
        <w:rPr>
          <w:rFonts w:hint="eastAsia"/>
          <w:sz w:val="18"/>
          <w:szCs w:val="18"/>
        </w:rPr>
        <w:t>投资者应得赎回资金＝</w:t>
      </w:r>
      <w:r>
        <w:rPr>
          <w:rFonts w:hint="eastAsia"/>
          <w:sz w:val="18"/>
          <w:szCs w:val="18"/>
        </w:rPr>
        <w:t>105300</w:t>
      </w:r>
      <w:r>
        <w:rPr>
          <w:rFonts w:hint="eastAsia"/>
          <w:sz w:val="18"/>
          <w:szCs w:val="18"/>
        </w:rPr>
        <w:t>－</w:t>
      </w:r>
      <w:r>
        <w:rPr>
          <w:rFonts w:hint="eastAsia"/>
          <w:sz w:val="18"/>
          <w:szCs w:val="18"/>
        </w:rPr>
        <w:t>0</w:t>
      </w:r>
      <w:r>
        <w:rPr>
          <w:rFonts w:hint="eastAsia"/>
          <w:sz w:val="18"/>
          <w:szCs w:val="18"/>
        </w:rPr>
        <w:t>＝</w:t>
      </w:r>
      <w:r>
        <w:rPr>
          <w:sz w:val="18"/>
          <w:szCs w:val="18"/>
        </w:rPr>
        <w:t>10</w:t>
      </w:r>
      <w:r>
        <w:rPr>
          <w:rFonts w:hint="eastAsia"/>
          <w:sz w:val="18"/>
          <w:szCs w:val="18"/>
        </w:rPr>
        <w:t>5300</w:t>
      </w:r>
      <w:r>
        <w:rPr>
          <w:rFonts w:hint="eastAsia"/>
          <w:sz w:val="18"/>
          <w:szCs w:val="18"/>
        </w:rPr>
        <w:t>元人民币</w:t>
      </w:r>
    </w:p>
    <w:p w:rsidR="00562CD5" w:rsidRDefault="00C528B1">
      <w:pPr>
        <w:adjustRightInd w:val="0"/>
        <w:snapToGrid w:val="0"/>
        <w:spacing w:line="286" w:lineRule="auto"/>
        <w:rPr>
          <w:sz w:val="18"/>
          <w:szCs w:val="18"/>
        </w:rPr>
      </w:pPr>
      <w:r>
        <w:rPr>
          <w:rFonts w:hint="eastAsia"/>
          <w:sz w:val="18"/>
          <w:szCs w:val="18"/>
        </w:rPr>
        <w:t>【终止】</w:t>
      </w:r>
    </w:p>
    <w:p w:rsidR="00562CD5" w:rsidRDefault="00C528B1">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，本产品存续期内，如发生下列情形之一的，温州银行有权但无义务终止理财计划：</w:t>
      </w:r>
    </w:p>
    <w:p w:rsidR="00562CD5" w:rsidRDefault="00C528B1">
      <w:pPr>
        <w:adjustRightInd w:val="0"/>
        <w:snapToGrid w:val="0"/>
        <w:spacing w:line="286" w:lineRule="auto"/>
        <w:rPr>
          <w:color w:val="000000"/>
          <w:sz w:val="18"/>
        </w:rPr>
      </w:pPr>
      <w:r>
        <w:rPr>
          <w:rFonts w:hint="eastAsia"/>
          <w:color w:val="000000"/>
          <w:sz w:val="18"/>
        </w:rPr>
        <w:t>（</w:t>
      </w:r>
      <w:r>
        <w:rPr>
          <w:rFonts w:hint="eastAsia"/>
          <w:color w:val="000000"/>
          <w:sz w:val="18"/>
        </w:rPr>
        <w:t>1</w:t>
      </w:r>
      <w:r>
        <w:rPr>
          <w:rFonts w:hint="eastAsia"/>
          <w:color w:val="000000"/>
          <w:sz w:val="18"/>
        </w:rPr>
        <w:t>）本理财产品余额连续</w:t>
      </w:r>
      <w:r>
        <w:rPr>
          <w:rFonts w:hint="eastAsia"/>
          <w:color w:val="000000"/>
          <w:sz w:val="18"/>
        </w:rPr>
        <w:t>20</w:t>
      </w:r>
      <w:r>
        <w:rPr>
          <w:rFonts w:hint="eastAsia"/>
          <w:color w:val="000000"/>
          <w:sz w:val="18"/>
        </w:rPr>
        <w:t>个工作日低于</w:t>
      </w:r>
      <w:r>
        <w:rPr>
          <w:rFonts w:hint="eastAsia"/>
          <w:color w:val="000000"/>
          <w:sz w:val="18"/>
        </w:rPr>
        <w:t>1</w:t>
      </w:r>
      <w:r>
        <w:rPr>
          <w:rFonts w:hint="eastAsia"/>
          <w:color w:val="000000"/>
          <w:sz w:val="18"/>
        </w:rPr>
        <w:t>亿份；</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）如遇国家金融政策出现重大调整并影响到本产品的正常运行时，温州银行有权终止本产品。</w:t>
      </w:r>
    </w:p>
    <w:p w:rsidR="00562CD5" w:rsidRDefault="00C528B1">
      <w:pPr>
        <w:adjustRightInd w:val="0"/>
        <w:snapToGrid w:val="0"/>
        <w:spacing w:line="286" w:lineRule="auto"/>
        <w:rPr>
          <w:color w:val="000000"/>
          <w:sz w:val="18"/>
        </w:rPr>
      </w:pPr>
      <w:r>
        <w:rPr>
          <w:rFonts w:hint="eastAsia"/>
          <w:color w:val="000000"/>
          <w:sz w:val="18"/>
        </w:rPr>
        <w:t>（</w:t>
      </w:r>
      <w:r>
        <w:rPr>
          <w:rFonts w:hint="eastAsia"/>
          <w:color w:val="000000"/>
          <w:sz w:val="18"/>
        </w:rPr>
        <w:t>3</w:t>
      </w:r>
      <w:r>
        <w:rPr>
          <w:rFonts w:hint="eastAsia"/>
          <w:color w:val="000000"/>
          <w:sz w:val="18"/>
        </w:rPr>
        <w:t>）因本理财产品投向的金融资产所涉及的相关主体信用恶化，市场利率大幅下滑，温州银行合理判断将影响本理财产品正常运作的。</w:t>
      </w:r>
    </w:p>
    <w:p w:rsidR="00562CD5" w:rsidRDefault="00C528B1">
      <w:pPr>
        <w:adjustRightInd w:val="0"/>
        <w:snapToGrid w:val="0"/>
        <w:spacing w:line="286" w:lineRule="auto"/>
        <w:rPr>
          <w:sz w:val="18"/>
          <w:szCs w:val="18"/>
        </w:rPr>
      </w:pPr>
      <w:r>
        <w:rPr>
          <w:rFonts w:hint="eastAsia"/>
          <w:sz w:val="18"/>
          <w:szCs w:val="18"/>
        </w:rPr>
        <w:t>【相关费用】</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）理财管理人的固定管理费</w:t>
      </w:r>
    </w:p>
    <w:p w:rsidR="00562CD5" w:rsidRDefault="00C528B1">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rPr>
        <w:t>0.5%</w:t>
      </w:r>
      <w:r>
        <w:rPr>
          <w:rFonts w:hint="eastAsia"/>
          <w:sz w:val="18"/>
          <w:szCs w:val="18"/>
        </w:rPr>
        <w:t>，计算方法如下：</w:t>
      </w:r>
    </w:p>
    <w:p w:rsidR="00562CD5" w:rsidRDefault="00C528B1">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0.5%</w:t>
      </w:r>
      <w:r>
        <w:rPr>
          <w:rFonts w:hint="eastAsia"/>
          <w:sz w:val="18"/>
          <w:szCs w:val="18"/>
        </w:rPr>
        <w:t>÷</w:t>
      </w:r>
      <w:r>
        <w:rPr>
          <w:rFonts w:hint="eastAsia"/>
          <w:sz w:val="18"/>
          <w:szCs w:val="18"/>
        </w:rPr>
        <w:t>365</w:t>
      </w:r>
    </w:p>
    <w:p w:rsidR="00562CD5" w:rsidRDefault="00C528B1">
      <w:pPr>
        <w:adjustRightInd w:val="0"/>
        <w:snapToGrid w:val="0"/>
        <w:spacing w:line="286" w:lineRule="auto"/>
        <w:rPr>
          <w:sz w:val="18"/>
          <w:szCs w:val="18"/>
        </w:rPr>
      </w:pPr>
      <w:r>
        <w:rPr>
          <w:rFonts w:hint="eastAsia"/>
          <w:sz w:val="18"/>
          <w:szCs w:val="18"/>
        </w:rPr>
        <w:t>H</w:t>
      </w:r>
      <w:r>
        <w:rPr>
          <w:rFonts w:hint="eastAsia"/>
          <w:sz w:val="18"/>
          <w:szCs w:val="18"/>
        </w:rPr>
        <w:t>为每日应计提的管理费</w:t>
      </w:r>
    </w:p>
    <w:p w:rsidR="00562CD5" w:rsidRDefault="00C528B1">
      <w:pPr>
        <w:adjustRightInd w:val="0"/>
        <w:snapToGrid w:val="0"/>
        <w:spacing w:line="286" w:lineRule="auto"/>
        <w:rPr>
          <w:sz w:val="18"/>
          <w:szCs w:val="18"/>
        </w:rPr>
      </w:pPr>
      <w:r>
        <w:rPr>
          <w:rFonts w:hint="eastAsia"/>
          <w:sz w:val="18"/>
          <w:szCs w:val="18"/>
        </w:rPr>
        <w:t>E</w:t>
      </w:r>
      <w:r>
        <w:rPr>
          <w:rFonts w:hint="eastAsia"/>
          <w:sz w:val="18"/>
          <w:szCs w:val="18"/>
        </w:rPr>
        <w:t>为本计划前一日资产净值，第一日管理费</w:t>
      </w:r>
      <w:r>
        <w:rPr>
          <w:rFonts w:hint="eastAsia"/>
          <w:sz w:val="18"/>
          <w:szCs w:val="18"/>
        </w:rPr>
        <w:t>=</w:t>
      </w:r>
      <w:r>
        <w:rPr>
          <w:rFonts w:hint="eastAsia"/>
          <w:sz w:val="18"/>
          <w:szCs w:val="18"/>
        </w:rPr>
        <w:t>第一日理财产品本金余额×固定管理费率÷</w:t>
      </w:r>
      <w:r>
        <w:rPr>
          <w:rFonts w:hint="eastAsia"/>
          <w:sz w:val="18"/>
          <w:szCs w:val="18"/>
        </w:rPr>
        <w:t>365</w:t>
      </w:r>
      <w:r>
        <w:rPr>
          <w:rFonts w:hint="eastAsia"/>
          <w:sz w:val="18"/>
          <w:szCs w:val="18"/>
        </w:rPr>
        <w:t>。</w:t>
      </w:r>
    </w:p>
    <w:p w:rsidR="00562CD5" w:rsidRDefault="00C528B1">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）理财管理人的浮动管理费</w:t>
      </w:r>
    </w:p>
    <w:p w:rsidR="00562CD5" w:rsidRDefault="00C528B1">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rsidR="00562CD5" w:rsidRDefault="00C528B1">
      <w:pPr>
        <w:adjustRightInd w:val="0"/>
        <w:snapToGrid w:val="0"/>
        <w:spacing w:line="286" w:lineRule="auto"/>
        <w:rPr>
          <w:sz w:val="18"/>
          <w:szCs w:val="18"/>
        </w:rPr>
      </w:pPr>
      <w:r>
        <w:rPr>
          <w:rFonts w:hint="eastAsia"/>
          <w:sz w:val="18"/>
          <w:szCs w:val="18"/>
        </w:rPr>
        <w:t>F=</w:t>
      </w:r>
      <w:r>
        <w:rPr>
          <w:rFonts w:hint="eastAsia"/>
          <w:sz w:val="18"/>
          <w:szCs w:val="18"/>
        </w:rPr>
        <w:t>（</w:t>
      </w:r>
      <w:r>
        <w:rPr>
          <w:rFonts w:hint="eastAsia"/>
          <w:sz w:val="18"/>
          <w:szCs w:val="18"/>
        </w:rPr>
        <w:t>Y-A</w:t>
      </w:r>
      <w:r>
        <w:rPr>
          <w:rFonts w:hint="eastAsia"/>
          <w:sz w:val="18"/>
          <w:szCs w:val="18"/>
        </w:rPr>
        <w:t>×</w:t>
      </w:r>
      <w:r>
        <w:rPr>
          <w:rFonts w:hint="eastAsia"/>
          <w:sz w:val="18"/>
          <w:szCs w:val="18"/>
        </w:rPr>
        <w:t>R</w:t>
      </w:r>
      <w:r>
        <w:rPr>
          <w:rFonts w:hint="eastAsia"/>
          <w:sz w:val="18"/>
          <w:szCs w:val="18"/>
        </w:rPr>
        <w:t>÷</w:t>
      </w:r>
      <w:r>
        <w:rPr>
          <w:rFonts w:hint="eastAsia"/>
          <w:sz w:val="18"/>
          <w:szCs w:val="18"/>
        </w:rPr>
        <w:t>365</w:t>
      </w:r>
      <w:r>
        <w:rPr>
          <w:rFonts w:hint="eastAsia"/>
          <w:sz w:val="18"/>
          <w:szCs w:val="18"/>
        </w:rPr>
        <w:t>）×</w:t>
      </w:r>
      <w:r>
        <w:rPr>
          <w:rFonts w:hint="eastAsia"/>
          <w:sz w:val="18"/>
          <w:szCs w:val="18"/>
        </w:rPr>
        <w:t>80%</w:t>
      </w:r>
    </w:p>
    <w:p w:rsidR="00562CD5" w:rsidRDefault="00C528B1">
      <w:pPr>
        <w:adjustRightInd w:val="0"/>
        <w:snapToGrid w:val="0"/>
        <w:spacing w:line="286" w:lineRule="auto"/>
        <w:rPr>
          <w:sz w:val="18"/>
          <w:szCs w:val="18"/>
        </w:rPr>
      </w:pPr>
      <w:r>
        <w:rPr>
          <w:rFonts w:hint="eastAsia"/>
          <w:sz w:val="18"/>
          <w:szCs w:val="18"/>
        </w:rPr>
        <w:t>其中：</w:t>
      </w:r>
    </w:p>
    <w:p w:rsidR="00562CD5" w:rsidRDefault="00C528B1">
      <w:pPr>
        <w:adjustRightInd w:val="0"/>
        <w:snapToGrid w:val="0"/>
        <w:spacing w:line="286" w:lineRule="auto"/>
        <w:rPr>
          <w:sz w:val="18"/>
          <w:szCs w:val="18"/>
        </w:rPr>
      </w:pPr>
      <w:r>
        <w:rPr>
          <w:rFonts w:hint="eastAsia"/>
          <w:sz w:val="18"/>
          <w:szCs w:val="18"/>
        </w:rPr>
        <w:t>F</w:t>
      </w:r>
      <w:r>
        <w:rPr>
          <w:rFonts w:hint="eastAsia"/>
          <w:sz w:val="18"/>
          <w:szCs w:val="18"/>
        </w:rPr>
        <w:t>为每日应计提的浮动管理费，当计提后的浮动管理费余额小于</w:t>
      </w:r>
      <w:r>
        <w:rPr>
          <w:rFonts w:hint="eastAsia"/>
          <w:sz w:val="18"/>
          <w:szCs w:val="18"/>
        </w:rPr>
        <w:t>0</w:t>
      </w:r>
      <w:r>
        <w:rPr>
          <w:rFonts w:hint="eastAsia"/>
          <w:sz w:val="18"/>
          <w:szCs w:val="18"/>
        </w:rPr>
        <w:t>时，则当日不再予以计提，即当日浮动管理费余额为</w:t>
      </w:r>
      <w:r>
        <w:rPr>
          <w:rFonts w:hint="eastAsia"/>
          <w:sz w:val="18"/>
          <w:szCs w:val="18"/>
        </w:rPr>
        <w:t>0</w:t>
      </w:r>
      <w:r>
        <w:rPr>
          <w:rFonts w:hint="eastAsia"/>
          <w:sz w:val="18"/>
          <w:szCs w:val="18"/>
        </w:rPr>
        <w:t>。</w:t>
      </w:r>
    </w:p>
    <w:p w:rsidR="00562CD5" w:rsidRDefault="00C528B1">
      <w:pPr>
        <w:adjustRightInd w:val="0"/>
        <w:snapToGrid w:val="0"/>
        <w:spacing w:line="286" w:lineRule="auto"/>
        <w:rPr>
          <w:sz w:val="18"/>
          <w:szCs w:val="18"/>
        </w:rPr>
      </w:pPr>
      <w:r>
        <w:rPr>
          <w:rFonts w:hint="eastAsia"/>
          <w:sz w:val="18"/>
          <w:szCs w:val="18"/>
        </w:rPr>
        <w:t>Y</w:t>
      </w:r>
      <w:r>
        <w:rPr>
          <w:rFonts w:hint="eastAsia"/>
          <w:sz w:val="18"/>
          <w:szCs w:val="18"/>
        </w:rPr>
        <w:t>为当日扣除浮动管理费前的当日资产收益</w:t>
      </w:r>
    </w:p>
    <w:p w:rsidR="0075297D" w:rsidRPr="00CC5CBF" w:rsidRDefault="0075297D" w:rsidP="0075297D">
      <w:pPr>
        <w:adjustRightInd w:val="0"/>
        <w:snapToGrid w:val="0"/>
        <w:spacing w:line="286" w:lineRule="auto"/>
        <w:rPr>
          <w:sz w:val="18"/>
          <w:szCs w:val="18"/>
        </w:rPr>
      </w:pPr>
      <w:r w:rsidRPr="00CC5CBF">
        <w:rPr>
          <w:rFonts w:hint="eastAsia"/>
          <w:sz w:val="18"/>
          <w:szCs w:val="18"/>
        </w:rPr>
        <w:t>A</w:t>
      </w:r>
      <w:r w:rsidRPr="00CC5CBF">
        <w:rPr>
          <w:rFonts w:hint="eastAsia"/>
          <w:sz w:val="18"/>
          <w:szCs w:val="18"/>
        </w:rPr>
        <w:t>为</w:t>
      </w:r>
      <w:r>
        <w:rPr>
          <w:rFonts w:hint="eastAsia"/>
          <w:sz w:val="18"/>
          <w:szCs w:val="18"/>
        </w:rPr>
        <w:t>上一日</w:t>
      </w:r>
      <w:r w:rsidRPr="004F3D56">
        <w:rPr>
          <w:rFonts w:hint="eastAsia"/>
          <w:sz w:val="18"/>
          <w:szCs w:val="18"/>
        </w:rPr>
        <w:t>理财产品的单位净值×当日产品份额余额</w:t>
      </w:r>
    </w:p>
    <w:p w:rsidR="00562CD5" w:rsidRDefault="00C528B1">
      <w:pPr>
        <w:adjustRightInd w:val="0"/>
        <w:snapToGrid w:val="0"/>
        <w:spacing w:line="286" w:lineRule="auto"/>
        <w:rPr>
          <w:sz w:val="18"/>
          <w:szCs w:val="18"/>
        </w:rPr>
      </w:pPr>
      <w:r>
        <w:rPr>
          <w:rFonts w:hint="eastAsia"/>
          <w:sz w:val="18"/>
          <w:szCs w:val="18"/>
        </w:rPr>
        <w:t>R</w:t>
      </w:r>
      <w:r>
        <w:rPr>
          <w:rFonts w:hint="eastAsia"/>
          <w:sz w:val="18"/>
          <w:szCs w:val="18"/>
        </w:rPr>
        <w:t>为当日的业绩比较基准</w:t>
      </w:r>
    </w:p>
    <w:p w:rsidR="00562CD5" w:rsidRDefault="00C528B1">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rsidR="00562CD5" w:rsidRDefault="00C528B1">
      <w:pPr>
        <w:adjustRightInd w:val="0"/>
        <w:snapToGrid w:val="0"/>
        <w:spacing w:line="286" w:lineRule="auto"/>
        <w:rPr>
          <w:sz w:val="18"/>
          <w:szCs w:val="18"/>
        </w:rPr>
      </w:pPr>
      <w:r>
        <w:rPr>
          <w:rFonts w:hint="eastAsia"/>
          <w:sz w:val="18"/>
          <w:szCs w:val="18"/>
        </w:rPr>
        <w:t>注：计算过程不保留位数，最终浮动管理费保留</w:t>
      </w:r>
      <w:r>
        <w:rPr>
          <w:rFonts w:hint="eastAsia"/>
          <w:sz w:val="18"/>
          <w:szCs w:val="18"/>
        </w:rPr>
        <w:t>2</w:t>
      </w:r>
      <w:r>
        <w:rPr>
          <w:rFonts w:hint="eastAsia"/>
          <w:sz w:val="18"/>
          <w:szCs w:val="18"/>
        </w:rPr>
        <w:t>位小数。</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）理财托管人的托管费</w:t>
      </w:r>
    </w:p>
    <w:p w:rsidR="00562CD5" w:rsidRDefault="00C528B1">
      <w:pPr>
        <w:adjustRightInd w:val="0"/>
        <w:snapToGrid w:val="0"/>
        <w:spacing w:line="286" w:lineRule="auto"/>
        <w:rPr>
          <w:sz w:val="18"/>
          <w:szCs w:val="18"/>
        </w:rPr>
      </w:pPr>
      <w:r>
        <w:rPr>
          <w:rFonts w:hint="eastAsia"/>
          <w:sz w:val="18"/>
          <w:szCs w:val="18"/>
        </w:rPr>
        <w:t>理财计划财产的年托管费为</w:t>
      </w:r>
      <w:r>
        <w:rPr>
          <w:rFonts w:hint="eastAsia"/>
          <w:sz w:val="18"/>
          <w:szCs w:val="18"/>
        </w:rPr>
        <w:t>0.005%</w:t>
      </w:r>
      <w:r>
        <w:rPr>
          <w:rFonts w:hint="eastAsia"/>
          <w:sz w:val="18"/>
          <w:szCs w:val="18"/>
        </w:rPr>
        <w:t>，计算方法如下：</w:t>
      </w:r>
    </w:p>
    <w:p w:rsidR="00562CD5" w:rsidRDefault="00C528B1">
      <w:pPr>
        <w:adjustRightInd w:val="0"/>
        <w:snapToGrid w:val="0"/>
        <w:spacing w:line="286" w:lineRule="auto"/>
        <w:rPr>
          <w:sz w:val="18"/>
          <w:szCs w:val="18"/>
        </w:rPr>
      </w:pPr>
      <w:r>
        <w:rPr>
          <w:rFonts w:hint="eastAsia"/>
          <w:sz w:val="18"/>
          <w:szCs w:val="18"/>
        </w:rPr>
        <w:t>H</w:t>
      </w:r>
      <w:r>
        <w:rPr>
          <w:rFonts w:hint="eastAsia"/>
          <w:sz w:val="18"/>
          <w:szCs w:val="18"/>
        </w:rPr>
        <w:t>＝</w:t>
      </w:r>
      <w:r>
        <w:rPr>
          <w:rFonts w:hint="eastAsia"/>
          <w:sz w:val="18"/>
          <w:szCs w:val="18"/>
        </w:rPr>
        <w:t>E</w:t>
      </w:r>
      <w:r>
        <w:rPr>
          <w:rFonts w:hint="eastAsia"/>
          <w:sz w:val="18"/>
          <w:szCs w:val="18"/>
        </w:rPr>
        <w:t>×</w:t>
      </w:r>
      <w:r>
        <w:rPr>
          <w:rFonts w:hint="eastAsia"/>
          <w:sz w:val="18"/>
          <w:szCs w:val="18"/>
        </w:rPr>
        <w:t>0.005</w:t>
      </w:r>
      <w:r>
        <w:rPr>
          <w:rFonts w:hint="eastAsia"/>
          <w:sz w:val="18"/>
          <w:szCs w:val="18"/>
        </w:rPr>
        <w:t>％÷</w:t>
      </w:r>
      <w:r>
        <w:rPr>
          <w:rFonts w:hint="eastAsia"/>
          <w:sz w:val="18"/>
          <w:szCs w:val="18"/>
        </w:rPr>
        <w:t>365</w:t>
      </w:r>
    </w:p>
    <w:p w:rsidR="00562CD5" w:rsidRDefault="00C528B1">
      <w:pPr>
        <w:adjustRightInd w:val="0"/>
        <w:snapToGrid w:val="0"/>
        <w:spacing w:line="286" w:lineRule="auto"/>
        <w:rPr>
          <w:sz w:val="18"/>
          <w:szCs w:val="18"/>
        </w:rPr>
      </w:pPr>
      <w:r>
        <w:rPr>
          <w:rFonts w:hint="eastAsia"/>
          <w:sz w:val="18"/>
          <w:szCs w:val="18"/>
        </w:rPr>
        <w:t>H</w:t>
      </w:r>
      <w:r>
        <w:rPr>
          <w:rFonts w:hint="eastAsia"/>
          <w:sz w:val="18"/>
          <w:szCs w:val="18"/>
        </w:rPr>
        <w:t>为每日应计提的托管费</w:t>
      </w:r>
    </w:p>
    <w:p w:rsidR="00562CD5" w:rsidRDefault="00C528B1">
      <w:pPr>
        <w:adjustRightInd w:val="0"/>
        <w:snapToGrid w:val="0"/>
        <w:spacing w:line="286" w:lineRule="auto"/>
        <w:rPr>
          <w:sz w:val="18"/>
          <w:szCs w:val="18"/>
        </w:rPr>
      </w:pPr>
      <w:r>
        <w:rPr>
          <w:rFonts w:hint="eastAsia"/>
          <w:sz w:val="18"/>
          <w:szCs w:val="18"/>
        </w:rPr>
        <w:t>E</w:t>
      </w:r>
      <w:r>
        <w:rPr>
          <w:rFonts w:hint="eastAsia"/>
          <w:sz w:val="18"/>
          <w:szCs w:val="18"/>
        </w:rPr>
        <w:t>为本计划前一日资产净值，第一日托管费</w:t>
      </w:r>
      <w:r>
        <w:rPr>
          <w:rFonts w:hint="eastAsia"/>
          <w:sz w:val="18"/>
          <w:szCs w:val="18"/>
        </w:rPr>
        <w:t>=</w:t>
      </w:r>
      <w:r>
        <w:rPr>
          <w:rFonts w:hint="eastAsia"/>
          <w:sz w:val="18"/>
          <w:szCs w:val="18"/>
        </w:rPr>
        <w:t>第一日理财产品本金余额×托管费率÷</w:t>
      </w:r>
      <w:r>
        <w:rPr>
          <w:rFonts w:hint="eastAsia"/>
          <w:sz w:val="18"/>
          <w:szCs w:val="18"/>
        </w:rPr>
        <w:t>365</w:t>
      </w:r>
      <w:r>
        <w:rPr>
          <w:rFonts w:hint="eastAsia"/>
          <w:sz w:val="18"/>
          <w:szCs w:val="18"/>
        </w:rPr>
        <w:t>。</w:t>
      </w:r>
    </w:p>
    <w:p w:rsidR="00562CD5" w:rsidRDefault="00C528B1">
      <w:pPr>
        <w:adjustRightInd w:val="0"/>
        <w:snapToGrid w:val="0"/>
        <w:spacing w:line="286" w:lineRule="auto"/>
        <w:rPr>
          <w:sz w:val="18"/>
          <w:szCs w:val="18"/>
        </w:rPr>
      </w:pPr>
      <w:r>
        <w:rPr>
          <w:rFonts w:hint="eastAsia"/>
          <w:sz w:val="18"/>
          <w:szCs w:val="18"/>
        </w:rPr>
        <w:t>托管费原则上按日计提，逐日累计至每季度最后一个自然月的</w:t>
      </w:r>
      <w:r>
        <w:rPr>
          <w:rFonts w:hint="eastAsia"/>
          <w:sz w:val="18"/>
          <w:szCs w:val="18"/>
        </w:rPr>
        <w:t>15</w:t>
      </w:r>
      <w:r>
        <w:rPr>
          <w:rFonts w:hint="eastAsia"/>
          <w:sz w:val="18"/>
          <w:szCs w:val="18"/>
        </w:rPr>
        <w:t>日（如遇法定节假日顺延）从理财计划财产中扣除。</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4</w:t>
      </w:r>
      <w:r>
        <w:rPr>
          <w:rFonts w:hint="eastAsia"/>
          <w:sz w:val="18"/>
          <w:szCs w:val="18"/>
        </w:rPr>
        <w:t>）其他费用（如有）：交易费用（包括但不限于交易佣金、撮合费用等）、理财计划估值服务费、理财计划验资费、</w:t>
      </w:r>
      <w:r>
        <w:rPr>
          <w:rFonts w:hint="eastAsia"/>
          <w:sz w:val="18"/>
          <w:szCs w:val="18"/>
        </w:rPr>
        <w:lastRenderedPageBreak/>
        <w:t>审计费、律师费、信息披露费、清算费、执行费用等相关费用，具体以实际发生为准。</w:t>
      </w:r>
    </w:p>
    <w:p w:rsidR="00562CD5" w:rsidRDefault="00C528B1">
      <w:pPr>
        <w:adjustRightInd w:val="0"/>
        <w:snapToGrid w:val="0"/>
        <w:spacing w:line="286" w:lineRule="auto"/>
        <w:rPr>
          <w:sz w:val="18"/>
          <w:szCs w:val="18"/>
        </w:rPr>
      </w:pPr>
      <w:r>
        <w:rPr>
          <w:rFonts w:hint="eastAsia"/>
          <w:sz w:val="18"/>
          <w:szCs w:val="18"/>
        </w:rPr>
        <w:t>【本金及理财收益风险】</w:t>
      </w:r>
    </w:p>
    <w:p w:rsidR="00562CD5" w:rsidRDefault="00C528B1">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rsidR="00562CD5" w:rsidRDefault="00C528B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rsidR="00562CD5" w:rsidRDefault="00C528B1">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rsidR="00562CD5" w:rsidRDefault="00C528B1">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562CD5" w:rsidRDefault="00C528B1">
      <w:pPr>
        <w:adjustRightInd w:val="0"/>
        <w:snapToGrid w:val="0"/>
        <w:spacing w:line="286" w:lineRule="auto"/>
        <w:rPr>
          <w:b/>
          <w:sz w:val="18"/>
          <w:szCs w:val="18"/>
        </w:rPr>
      </w:pPr>
      <w:r>
        <w:rPr>
          <w:rFonts w:hint="eastAsia"/>
          <w:b/>
          <w:sz w:val="18"/>
          <w:szCs w:val="18"/>
        </w:rPr>
        <w:t>理财</w:t>
      </w:r>
      <w:r>
        <w:rPr>
          <w:b/>
          <w:sz w:val="18"/>
          <w:szCs w:val="18"/>
        </w:rPr>
        <w:t>计划利益分配</w:t>
      </w:r>
    </w:p>
    <w:p w:rsidR="00562CD5" w:rsidRDefault="00C528B1">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w:t>
      </w:r>
    </w:p>
    <w:p w:rsidR="00562CD5" w:rsidRDefault="00C528B1">
      <w:pPr>
        <w:adjustRightInd w:val="0"/>
        <w:snapToGrid w:val="0"/>
        <w:spacing w:line="286" w:lineRule="auto"/>
        <w:rPr>
          <w:sz w:val="18"/>
          <w:szCs w:val="18"/>
        </w:rPr>
      </w:pPr>
      <w:r>
        <w:rPr>
          <w:rFonts w:hint="eastAsia"/>
          <w:sz w:val="18"/>
          <w:szCs w:val="18"/>
        </w:rPr>
        <w:t>2.</w:t>
      </w:r>
      <w:r>
        <w:rPr>
          <w:rFonts w:hint="eastAsia"/>
          <w:sz w:val="18"/>
          <w:szCs w:val="18"/>
        </w:rPr>
        <w:t>投资者持有本理财计划期间，温州银行不承诺保证本金安全且不保证理财收益，投资者在到期日的应得收益（如有）随投资盈亏水平浮动。</w:t>
      </w:r>
    </w:p>
    <w:p w:rsidR="00562CD5" w:rsidRDefault="00C528B1">
      <w:pPr>
        <w:adjustRightInd w:val="0"/>
        <w:snapToGrid w:val="0"/>
        <w:spacing w:line="286" w:lineRule="auto"/>
        <w:rPr>
          <w:sz w:val="18"/>
          <w:szCs w:val="18"/>
        </w:rPr>
      </w:pPr>
      <w:r>
        <w:rPr>
          <w:rFonts w:hint="eastAsia"/>
          <w:sz w:val="18"/>
          <w:szCs w:val="18"/>
        </w:rPr>
        <w:t>3.</w:t>
      </w:r>
      <w:r>
        <w:rPr>
          <w:rFonts w:hint="eastAsia"/>
          <w:sz w:val="18"/>
          <w:szCs w:val="18"/>
        </w:rPr>
        <w:t>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w:t>
      </w:r>
      <w:r>
        <w:rPr>
          <w:rFonts w:hint="eastAsia"/>
          <w:sz w:val="18"/>
          <w:szCs w:val="18"/>
        </w:rPr>
        <w:t>5</w:t>
      </w:r>
      <w:r>
        <w:rPr>
          <w:rFonts w:hint="eastAsia"/>
          <w:sz w:val="18"/>
          <w:szCs w:val="18"/>
        </w:rPr>
        <w:t>日的，温州银行</w:t>
      </w:r>
      <w:r>
        <w:rPr>
          <w:sz w:val="18"/>
          <w:szCs w:val="18"/>
        </w:rPr>
        <w:t>将提前</w:t>
      </w:r>
      <w:r>
        <w:rPr>
          <w:sz w:val="18"/>
          <w:szCs w:val="18"/>
        </w:rPr>
        <w:t>2</w:t>
      </w:r>
      <w:r>
        <w:rPr>
          <w:sz w:val="18"/>
          <w:szCs w:val="18"/>
        </w:rPr>
        <w:t>个工作日</w:t>
      </w:r>
      <w:r>
        <w:rPr>
          <w:rFonts w:hint="eastAsia"/>
          <w:sz w:val="18"/>
          <w:szCs w:val="18"/>
        </w:rPr>
        <w:t>根据约定方式进行</w:t>
      </w:r>
      <w:r>
        <w:rPr>
          <w:sz w:val="18"/>
          <w:szCs w:val="18"/>
        </w:rPr>
        <w:t>信息披露</w:t>
      </w:r>
      <w:r>
        <w:rPr>
          <w:rFonts w:hint="eastAsia"/>
          <w:sz w:val="18"/>
          <w:szCs w:val="18"/>
        </w:rPr>
        <w:t>。</w:t>
      </w:r>
    </w:p>
    <w:p w:rsidR="00562CD5" w:rsidRDefault="00C528B1">
      <w:pPr>
        <w:adjustRightInd w:val="0"/>
        <w:snapToGrid w:val="0"/>
        <w:spacing w:line="286" w:lineRule="auto"/>
        <w:rPr>
          <w:sz w:val="18"/>
          <w:szCs w:val="18"/>
        </w:rPr>
      </w:pPr>
      <w:r>
        <w:rPr>
          <w:rFonts w:hint="eastAsia"/>
          <w:sz w:val="18"/>
          <w:szCs w:val="18"/>
        </w:rPr>
        <w:t>4.</w:t>
      </w:r>
      <w:r>
        <w:rPr>
          <w:rFonts w:hint="eastAsia"/>
          <w:sz w:val="18"/>
          <w:szCs w:val="18"/>
        </w:rPr>
        <w:t>理财计划在理财计划终止时，如理财计划项下证券投资类集合资金信托计划、券商定向、集合资产管理计划财产或固定收益类资产不能全部变现，则温州银行将现金类资产扣除应由理财计划承担的费用、税款（如有）后向投资者分配。对于未变现资产部分，温州银行以投资者利益最大化的原则，寻求未变现资产变现方式，在资产变现后</w:t>
      </w:r>
      <w:r>
        <w:rPr>
          <w:rFonts w:hint="eastAsia"/>
          <w:sz w:val="18"/>
          <w:szCs w:val="18"/>
        </w:rPr>
        <w:t>10</w:t>
      </w:r>
      <w:r>
        <w:rPr>
          <w:rFonts w:hint="eastAsia"/>
          <w:sz w:val="18"/>
          <w:szCs w:val="18"/>
        </w:rPr>
        <w:t>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rsidR="00562CD5" w:rsidRDefault="00C528B1">
      <w:pPr>
        <w:adjustRightInd w:val="0"/>
        <w:snapToGrid w:val="0"/>
        <w:spacing w:line="286" w:lineRule="auto"/>
        <w:rPr>
          <w:b/>
          <w:sz w:val="18"/>
          <w:szCs w:val="18"/>
        </w:rPr>
      </w:pPr>
      <w:r>
        <w:rPr>
          <w:rFonts w:hint="eastAsia"/>
          <w:b/>
          <w:sz w:val="18"/>
          <w:szCs w:val="18"/>
        </w:rPr>
        <w:t>税费规定</w:t>
      </w:r>
    </w:p>
    <w:p w:rsidR="00562CD5" w:rsidRDefault="00C528B1">
      <w:pPr>
        <w:adjustRightInd w:val="0"/>
        <w:snapToGrid w:val="0"/>
        <w:spacing w:line="281" w:lineRule="auto"/>
        <w:rPr>
          <w:rFonts w:ascii="宋体" w:hAnsi="宋体" w:cs="宋体"/>
          <w:kern w:val="0"/>
          <w:sz w:val="18"/>
          <w:szCs w:val="18"/>
        </w:rPr>
      </w:pPr>
      <w:r>
        <w:rPr>
          <w:rFonts w:ascii="宋体" w:hAnsi="宋体" w:cs="宋体" w:hint="eastAsia"/>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rsidR="00562CD5" w:rsidRDefault="00C528B1">
      <w:pPr>
        <w:widowControl/>
        <w:adjustRightInd w:val="0"/>
        <w:snapToGrid w:val="0"/>
        <w:spacing w:line="286" w:lineRule="auto"/>
        <w:outlineLvl w:val="0"/>
        <w:rPr>
          <w:b/>
          <w:sz w:val="18"/>
          <w:szCs w:val="18"/>
        </w:rPr>
      </w:pPr>
      <w:r>
        <w:rPr>
          <w:rFonts w:hint="eastAsia"/>
          <w:b/>
          <w:sz w:val="18"/>
          <w:szCs w:val="18"/>
        </w:rPr>
        <w:t>风险提示</w:t>
      </w:r>
    </w:p>
    <w:p w:rsidR="00562CD5" w:rsidRDefault="00C528B1">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rsidR="00562CD5" w:rsidRDefault="00C528B1">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可能为</w:t>
      </w:r>
      <w:r>
        <w:rPr>
          <w:sz w:val="18"/>
          <w:szCs w:val="18"/>
        </w:rPr>
        <w:t>0</w:t>
      </w:r>
      <w:r>
        <w:rPr>
          <w:rFonts w:hint="eastAsia"/>
          <w:sz w:val="18"/>
          <w:szCs w:val="18"/>
        </w:rPr>
        <w:t>，甚至发生本金损失。则由此产生的理财本金及收益损失的风险由投资者自行承担。</w:t>
      </w:r>
    </w:p>
    <w:p w:rsidR="00562CD5" w:rsidRDefault="00C528B1">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理财资金的投资管理人</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rsidR="00562CD5" w:rsidRDefault="00C528B1">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562CD5" w:rsidRDefault="00C528B1">
      <w:pPr>
        <w:adjustRightInd w:val="0"/>
        <w:snapToGrid w:val="0"/>
        <w:spacing w:line="286" w:lineRule="auto"/>
        <w:rPr>
          <w:sz w:val="18"/>
          <w:szCs w:val="18"/>
        </w:rPr>
      </w:pPr>
      <w:r>
        <w:rPr>
          <w:sz w:val="18"/>
          <w:szCs w:val="18"/>
        </w:rPr>
        <w:t>4</w:t>
      </w:r>
      <w:r>
        <w:rPr>
          <w:rFonts w:hint="eastAsia"/>
          <w:sz w:val="18"/>
          <w:szCs w:val="18"/>
        </w:rPr>
        <w:t>、流动性风险：本理财计划在存续期内投资者不得提前赎回。在理财计划存续期内的每个赎回日，若该赎回日内净赎回份额合计超过理财产品总份额的</w:t>
      </w:r>
      <w:r>
        <w:rPr>
          <w:rFonts w:hint="eastAsia"/>
          <w:sz w:val="18"/>
          <w:szCs w:val="18"/>
        </w:rPr>
        <w:t>20%</w:t>
      </w:r>
      <w:r>
        <w:rPr>
          <w:rFonts w:hint="eastAsia"/>
          <w:sz w:val="18"/>
          <w:szCs w:val="18"/>
        </w:rPr>
        <w:t>，则发生巨额赎回事件，温州银行有权拒绝接受超过</w:t>
      </w:r>
      <w:r>
        <w:rPr>
          <w:rFonts w:hint="eastAsia"/>
          <w:sz w:val="18"/>
          <w:szCs w:val="18"/>
        </w:rPr>
        <w:t>20%</w:t>
      </w:r>
      <w:r>
        <w:rPr>
          <w:rFonts w:hint="eastAsia"/>
          <w:sz w:val="18"/>
          <w:szCs w:val="18"/>
        </w:rPr>
        <w:t>以上部分的赎回申请。由此可能影响投资者的资金安排，带来流动性风险。</w:t>
      </w:r>
    </w:p>
    <w:p w:rsidR="00562CD5" w:rsidRDefault="00C528B1">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562CD5" w:rsidRDefault="00C528B1">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rsidR="00562CD5" w:rsidRDefault="00C528B1">
      <w:pPr>
        <w:adjustRightInd w:val="0"/>
        <w:snapToGrid w:val="0"/>
        <w:spacing w:line="286" w:lineRule="auto"/>
        <w:rPr>
          <w:sz w:val="18"/>
          <w:szCs w:val="18"/>
        </w:rPr>
      </w:pPr>
      <w:r>
        <w:rPr>
          <w:rFonts w:ascii="宋体" w:hAnsi="宋体" w:hint="eastAsia"/>
          <w:sz w:val="18"/>
          <w:szCs w:val="18"/>
        </w:rPr>
        <w:t>7、</w:t>
      </w:r>
      <w:r>
        <w:rPr>
          <w:rFonts w:ascii="宋体" w:hAnsi="宋体"/>
          <w:sz w:val="18"/>
          <w:szCs w:val="18"/>
        </w:rPr>
        <w:t>信用风险</w:t>
      </w:r>
      <w:r>
        <w:rPr>
          <w:rFonts w:ascii="宋体" w:hAnsi="宋体" w:hint="eastAsia"/>
          <w:sz w:val="18"/>
          <w:szCs w:val="18"/>
        </w:rPr>
        <w:t>：</w:t>
      </w:r>
      <w:r>
        <w:rPr>
          <w:rFonts w:hint="eastAsia"/>
          <w:sz w:val="18"/>
          <w:szCs w:val="18"/>
        </w:rPr>
        <w:t>可能因交易对手违约或者其他原因导致到期投资品种不能得到及时足额清偿，进而造成理财财产损失。</w:t>
      </w:r>
    </w:p>
    <w:p w:rsidR="00562CD5" w:rsidRDefault="00C528B1">
      <w:pPr>
        <w:pStyle w:val="aa"/>
        <w:adjustRightInd w:val="0"/>
        <w:snapToGrid w:val="0"/>
        <w:spacing w:line="286" w:lineRule="auto"/>
        <w:ind w:firstLine="0"/>
        <w:rPr>
          <w:sz w:val="18"/>
          <w:szCs w:val="18"/>
        </w:rPr>
      </w:pPr>
      <w:r>
        <w:rPr>
          <w:rFonts w:ascii="宋体" w:hAnsi="宋体" w:hint="eastAsia"/>
          <w:sz w:val="18"/>
          <w:szCs w:val="18"/>
        </w:rPr>
        <w:t>8、</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562CD5" w:rsidRDefault="00C528B1">
      <w:pPr>
        <w:adjustRightInd w:val="0"/>
        <w:snapToGrid w:val="0"/>
        <w:spacing w:line="286" w:lineRule="auto"/>
        <w:rPr>
          <w:sz w:val="18"/>
          <w:szCs w:val="18"/>
        </w:rPr>
      </w:pPr>
      <w:r>
        <w:rPr>
          <w:rFonts w:hint="eastAsia"/>
          <w:sz w:val="18"/>
          <w:szCs w:val="18"/>
        </w:rPr>
        <w:t>9</w:t>
      </w:r>
      <w:r>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w:t>
      </w:r>
      <w:r>
        <w:rPr>
          <w:rFonts w:hint="eastAsia"/>
          <w:sz w:val="18"/>
          <w:szCs w:val="18"/>
        </w:rPr>
        <w:lastRenderedPageBreak/>
        <w:t>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rsidR="00562CD5" w:rsidRDefault="00C528B1">
      <w:pPr>
        <w:adjustRightInd w:val="0"/>
        <w:snapToGrid w:val="0"/>
        <w:spacing w:line="286" w:lineRule="auto"/>
        <w:rPr>
          <w:sz w:val="18"/>
          <w:szCs w:val="18"/>
        </w:rPr>
      </w:pPr>
      <w:r>
        <w:rPr>
          <w:rFonts w:hint="eastAsia"/>
          <w:sz w:val="18"/>
          <w:szCs w:val="18"/>
        </w:rPr>
        <w:t>10</w:t>
      </w:r>
      <w:r>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562CD5" w:rsidRDefault="00C528B1">
      <w:pPr>
        <w:adjustRightInd w:val="0"/>
        <w:snapToGrid w:val="0"/>
        <w:spacing w:line="286" w:lineRule="auto"/>
        <w:rPr>
          <w:sz w:val="18"/>
          <w:szCs w:val="18"/>
        </w:rPr>
      </w:pPr>
      <w:r>
        <w:rPr>
          <w:rFonts w:ascii="宋体" w:hAnsi="宋体" w:hint="eastAsia"/>
          <w:b/>
          <w:sz w:val="18"/>
          <w:szCs w:val="18"/>
        </w:rPr>
        <w:t>风险监测和控制措施：</w:t>
      </w:r>
    </w:p>
    <w:p w:rsidR="00562CD5" w:rsidRDefault="00C528B1">
      <w:pPr>
        <w:adjustRightInd w:val="0"/>
        <w:snapToGrid w:val="0"/>
        <w:spacing w:line="286" w:lineRule="auto"/>
        <w:rPr>
          <w:rFonts w:ascii="宋体" w:hAnsi="宋体"/>
          <w:sz w:val="18"/>
          <w:szCs w:val="18"/>
        </w:rPr>
      </w:pPr>
      <w:r>
        <w:rPr>
          <w:rFonts w:ascii="宋体" w:hAnsi="宋体"/>
          <w:sz w:val="18"/>
          <w:szCs w:val="18"/>
        </w:rPr>
        <w:t>针对</w:t>
      </w:r>
      <w:r>
        <w:rPr>
          <w:rFonts w:ascii="宋体" w:hAnsi="宋体" w:hint="eastAsia"/>
          <w:sz w:val="18"/>
          <w:szCs w:val="18"/>
        </w:rPr>
        <w:t>上述</w:t>
      </w:r>
      <w:r>
        <w:rPr>
          <w:rFonts w:ascii="宋体" w:hAnsi="宋体"/>
          <w:sz w:val="18"/>
          <w:szCs w:val="18"/>
        </w:rPr>
        <w:t>提及的风险，</w:t>
      </w:r>
      <w:r>
        <w:rPr>
          <w:rFonts w:ascii="宋体" w:hAnsi="宋体" w:hint="eastAsia"/>
          <w:sz w:val="18"/>
          <w:szCs w:val="18"/>
        </w:rPr>
        <w:t>温州银行</w:t>
      </w:r>
      <w:r>
        <w:rPr>
          <w:rFonts w:ascii="宋体" w:hAnsi="宋体"/>
          <w:sz w:val="18"/>
          <w:szCs w:val="18"/>
        </w:rPr>
        <w:t>将采取以下措施防范和控制风险，但并不保证以下措施可以覆盖和排除在管理本</w:t>
      </w:r>
      <w:r>
        <w:rPr>
          <w:rFonts w:ascii="宋体" w:hAnsi="宋体" w:hint="eastAsia"/>
          <w:sz w:val="18"/>
          <w:szCs w:val="18"/>
        </w:rPr>
        <w:t>产品</w:t>
      </w:r>
      <w:r>
        <w:rPr>
          <w:rFonts w:ascii="宋体" w:hAnsi="宋体"/>
          <w:sz w:val="18"/>
          <w:szCs w:val="18"/>
        </w:rPr>
        <w:t>过程中所可能涉及的全部风险</w:t>
      </w:r>
      <w:r>
        <w:rPr>
          <w:rFonts w:ascii="宋体" w:hAnsi="宋体" w:hint="eastAsia"/>
          <w:sz w:val="18"/>
          <w:szCs w:val="18"/>
        </w:rPr>
        <w:t>：</w:t>
      </w:r>
    </w:p>
    <w:p w:rsidR="00562CD5" w:rsidRDefault="00C528B1">
      <w:pPr>
        <w:adjustRightInd w:val="0"/>
        <w:snapToGrid w:val="0"/>
        <w:spacing w:line="286" w:lineRule="auto"/>
        <w:rPr>
          <w:rFonts w:ascii="宋体" w:hAnsi="宋体"/>
          <w:sz w:val="18"/>
          <w:szCs w:val="18"/>
        </w:rPr>
      </w:pPr>
      <w:r>
        <w:rPr>
          <w:rFonts w:ascii="宋体" w:hAnsi="宋体" w:hint="eastAsia"/>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rsidR="00562CD5" w:rsidRDefault="00C528B1">
      <w:pPr>
        <w:adjustRightInd w:val="0"/>
        <w:snapToGrid w:val="0"/>
        <w:spacing w:line="286" w:lineRule="auto"/>
        <w:rPr>
          <w:rFonts w:ascii="宋体" w:hAnsi="宋体"/>
          <w:sz w:val="18"/>
          <w:szCs w:val="18"/>
        </w:rPr>
      </w:pPr>
      <w:r>
        <w:rPr>
          <w:rFonts w:ascii="宋体" w:hAnsi="宋体" w:hint="eastAsia"/>
          <w:sz w:val="18"/>
          <w:szCs w:val="18"/>
        </w:rPr>
        <w:t>2、管理风险的管控措施：温州银行</w:t>
      </w:r>
      <w:r>
        <w:rPr>
          <w:rFonts w:ascii="宋体" w:hAnsi="宋体"/>
          <w:sz w:val="18"/>
          <w:szCs w:val="18"/>
        </w:rPr>
        <w:t>将加强内部管理，恪尽职守，</w:t>
      </w:r>
      <w:r>
        <w:rPr>
          <w:rFonts w:ascii="宋体" w:hAnsi="宋体" w:hint="eastAsia"/>
          <w:sz w:val="18"/>
          <w:szCs w:val="18"/>
        </w:rPr>
        <w:t>督促合作机构</w:t>
      </w:r>
      <w:r>
        <w:rPr>
          <w:rFonts w:ascii="宋体" w:hAnsi="宋体"/>
          <w:sz w:val="18"/>
          <w:szCs w:val="18"/>
        </w:rPr>
        <w:t>加强对信息的采集和科学的分析，力争降低因</w:t>
      </w:r>
      <w:r>
        <w:rPr>
          <w:rFonts w:ascii="宋体" w:hAnsi="宋体" w:hint="eastAsia"/>
          <w:sz w:val="18"/>
          <w:szCs w:val="18"/>
        </w:rPr>
        <w:t>其</w:t>
      </w:r>
      <w:r>
        <w:rPr>
          <w:rFonts w:ascii="宋体" w:hAnsi="宋体"/>
          <w:sz w:val="18"/>
          <w:szCs w:val="18"/>
        </w:rPr>
        <w:t>管理不当而对</w:t>
      </w:r>
      <w:r>
        <w:rPr>
          <w:rFonts w:ascii="宋体" w:hAnsi="宋体" w:hint="eastAsia"/>
          <w:sz w:val="18"/>
          <w:szCs w:val="18"/>
        </w:rPr>
        <w:t>理财</w:t>
      </w:r>
      <w:r>
        <w:rPr>
          <w:rFonts w:ascii="宋体" w:hAnsi="宋体"/>
          <w:sz w:val="18"/>
          <w:szCs w:val="18"/>
        </w:rPr>
        <w:t>财产</w:t>
      </w:r>
      <w:r>
        <w:rPr>
          <w:rFonts w:ascii="宋体" w:hAnsi="宋体" w:hint="eastAsia"/>
          <w:sz w:val="18"/>
          <w:szCs w:val="18"/>
        </w:rPr>
        <w:t>造成的</w:t>
      </w:r>
      <w:r>
        <w:rPr>
          <w:rFonts w:ascii="宋体" w:hAnsi="宋体"/>
          <w:sz w:val="18"/>
          <w:szCs w:val="18"/>
        </w:rPr>
        <w:t>损失</w:t>
      </w:r>
      <w:r>
        <w:rPr>
          <w:rFonts w:ascii="宋体" w:hAnsi="宋体" w:hint="eastAsia"/>
          <w:sz w:val="18"/>
          <w:szCs w:val="18"/>
        </w:rPr>
        <w:t>。</w:t>
      </w:r>
    </w:p>
    <w:p w:rsidR="00562CD5" w:rsidRDefault="00C528B1">
      <w:pPr>
        <w:adjustRightInd w:val="0"/>
        <w:snapToGrid w:val="0"/>
        <w:spacing w:line="286" w:lineRule="auto"/>
        <w:rPr>
          <w:rFonts w:ascii="宋体" w:hAnsi="宋体"/>
          <w:sz w:val="18"/>
          <w:szCs w:val="18"/>
        </w:rPr>
      </w:pPr>
      <w:r>
        <w:rPr>
          <w:rFonts w:ascii="宋体" w:hAnsi="宋体" w:hint="eastAsia"/>
          <w:sz w:val="18"/>
          <w:szCs w:val="18"/>
        </w:rPr>
        <w:t>3、法律风险的管控措施：温州银行将严格按照法律法规的要求履行自己的责任和义务。</w:t>
      </w:r>
    </w:p>
    <w:p w:rsidR="00562CD5" w:rsidRDefault="00C528B1">
      <w:pPr>
        <w:adjustRightInd w:val="0"/>
        <w:snapToGrid w:val="0"/>
        <w:spacing w:line="286" w:lineRule="auto"/>
        <w:rPr>
          <w:rFonts w:ascii="宋体" w:hAnsi="宋体"/>
          <w:sz w:val="18"/>
          <w:szCs w:val="18"/>
        </w:rPr>
      </w:pPr>
      <w:r>
        <w:rPr>
          <w:rFonts w:ascii="宋体" w:hAnsi="宋体" w:hint="eastAsia"/>
          <w:sz w:val="18"/>
          <w:szCs w:val="18"/>
        </w:rPr>
        <w:t>4、政策风险、</w:t>
      </w:r>
      <w:r>
        <w:rPr>
          <w:rFonts w:hint="eastAsia"/>
          <w:sz w:val="18"/>
          <w:szCs w:val="18"/>
        </w:rPr>
        <w:t>早偿风险、理财产品不成立风险和</w:t>
      </w:r>
      <w:r>
        <w:rPr>
          <w:rFonts w:ascii="宋体" w:hAnsi="宋体"/>
          <w:sz w:val="18"/>
          <w:szCs w:val="18"/>
        </w:rPr>
        <w:t>其他风险</w:t>
      </w:r>
      <w:r>
        <w:rPr>
          <w:rFonts w:ascii="宋体" w:hAnsi="宋体" w:hint="eastAsia"/>
          <w:sz w:val="18"/>
          <w:szCs w:val="18"/>
        </w:rPr>
        <w:t>的管控措施：温州银行</w:t>
      </w:r>
      <w:r>
        <w:rPr>
          <w:rFonts w:ascii="宋体" w:hAnsi="宋体"/>
          <w:sz w:val="18"/>
          <w:szCs w:val="18"/>
        </w:rPr>
        <w:t>将坚持</w:t>
      </w:r>
      <w:r>
        <w:rPr>
          <w:rFonts w:ascii="宋体" w:hAnsi="宋体" w:hint="eastAsia"/>
          <w:sz w:val="18"/>
          <w:szCs w:val="18"/>
        </w:rPr>
        <w:t>理财财产利益</w:t>
      </w:r>
      <w:r>
        <w:rPr>
          <w:rFonts w:ascii="宋体" w:hAnsi="宋体"/>
          <w:sz w:val="18"/>
          <w:szCs w:val="18"/>
        </w:rPr>
        <w:t>最大化的原则，严格履行自己应尽的义务，不断分析潜在的风险，努力防范和化解可能出现的风险，维护</w:t>
      </w:r>
      <w:r>
        <w:rPr>
          <w:rFonts w:ascii="宋体" w:hAnsi="宋体" w:hint="eastAsia"/>
          <w:sz w:val="18"/>
          <w:szCs w:val="18"/>
        </w:rPr>
        <w:t>理财财产的</w:t>
      </w:r>
      <w:r>
        <w:rPr>
          <w:rFonts w:ascii="宋体" w:hAnsi="宋体"/>
          <w:sz w:val="18"/>
          <w:szCs w:val="18"/>
        </w:rPr>
        <w:t>利益。</w:t>
      </w:r>
    </w:p>
    <w:p w:rsidR="00562CD5" w:rsidRDefault="00C528B1">
      <w:pPr>
        <w:adjustRightInd w:val="0"/>
        <w:snapToGrid w:val="0"/>
        <w:spacing w:line="286" w:lineRule="auto"/>
        <w:rPr>
          <w:b/>
          <w:sz w:val="18"/>
          <w:szCs w:val="18"/>
        </w:rPr>
      </w:pPr>
      <w:r>
        <w:rPr>
          <w:rFonts w:hint="eastAsia"/>
          <w:b/>
          <w:sz w:val="18"/>
          <w:szCs w:val="18"/>
        </w:rPr>
        <w:t>信息公告</w:t>
      </w:r>
    </w:p>
    <w:p w:rsidR="00562CD5" w:rsidRDefault="00C528B1">
      <w:pPr>
        <w:adjustRightInd w:val="0"/>
        <w:snapToGrid w:val="0"/>
        <w:spacing w:line="286" w:lineRule="auto"/>
        <w:rPr>
          <w:sz w:val="18"/>
          <w:szCs w:val="18"/>
        </w:rPr>
      </w:pPr>
      <w:r>
        <w:rPr>
          <w:rFonts w:hint="eastAsia"/>
          <w:sz w:val="18"/>
          <w:szCs w:val="18"/>
        </w:rPr>
        <w:t>1</w:t>
      </w:r>
      <w:r>
        <w:rPr>
          <w:rFonts w:hint="eastAsia"/>
          <w:sz w:val="18"/>
          <w:szCs w:val="18"/>
        </w:rPr>
        <w:t>、发行公告：温州银行将在本产品成立之日后</w:t>
      </w:r>
      <w:r>
        <w:rPr>
          <w:rFonts w:hint="eastAsia"/>
          <w:sz w:val="18"/>
          <w:szCs w:val="18"/>
        </w:rPr>
        <w:t>5</w:t>
      </w:r>
      <w:r>
        <w:rPr>
          <w:rFonts w:hint="eastAsia"/>
          <w:sz w:val="18"/>
          <w:szCs w:val="18"/>
        </w:rPr>
        <w:t>个工作日内披露发行公告，包括理财产品成立日期和募集规模等信息。</w:t>
      </w:r>
    </w:p>
    <w:p w:rsidR="00562CD5" w:rsidRDefault="00C528B1">
      <w:pPr>
        <w:adjustRightInd w:val="0"/>
        <w:snapToGrid w:val="0"/>
        <w:spacing w:line="286" w:lineRule="auto"/>
        <w:rPr>
          <w:sz w:val="18"/>
          <w:szCs w:val="18"/>
        </w:rPr>
      </w:pPr>
      <w:r>
        <w:rPr>
          <w:rFonts w:hint="eastAsia"/>
          <w:sz w:val="18"/>
          <w:szCs w:val="18"/>
        </w:rPr>
        <w:t>2</w:t>
      </w:r>
      <w:r>
        <w:rPr>
          <w:rFonts w:hint="eastAsia"/>
          <w:sz w:val="18"/>
          <w:szCs w:val="18"/>
        </w:rPr>
        <w:t>、定期公告：</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）温州银行将在每个季度结束之日起</w:t>
      </w:r>
      <w:r>
        <w:rPr>
          <w:rFonts w:hint="eastAsia"/>
          <w:sz w:val="18"/>
          <w:szCs w:val="18"/>
        </w:rPr>
        <w:t>15</w:t>
      </w:r>
      <w:r>
        <w:rPr>
          <w:rFonts w:hint="eastAsia"/>
          <w:sz w:val="18"/>
          <w:szCs w:val="18"/>
        </w:rPr>
        <w:t>个工作日内、上半年结束之日起</w:t>
      </w:r>
      <w:r>
        <w:rPr>
          <w:rFonts w:hint="eastAsia"/>
          <w:sz w:val="18"/>
          <w:szCs w:val="18"/>
        </w:rPr>
        <w:t>60</w:t>
      </w:r>
      <w:r>
        <w:rPr>
          <w:rFonts w:hint="eastAsia"/>
          <w:sz w:val="18"/>
          <w:szCs w:val="18"/>
        </w:rPr>
        <w:t>个工作日内、每半年结束之日起</w:t>
      </w:r>
      <w:r>
        <w:rPr>
          <w:rFonts w:hint="eastAsia"/>
          <w:sz w:val="18"/>
          <w:szCs w:val="18"/>
        </w:rPr>
        <w:t>90</w:t>
      </w:r>
      <w:r>
        <w:rPr>
          <w:rFonts w:hint="eastAsia"/>
          <w:sz w:val="18"/>
          <w:szCs w:val="18"/>
        </w:rPr>
        <w:t>个工作日内，编制完成理财产品的季度、半年度和年度报告等定期报告。理财产品成立不足</w:t>
      </w:r>
      <w:r>
        <w:rPr>
          <w:rFonts w:hint="eastAsia"/>
          <w:sz w:val="18"/>
          <w:szCs w:val="18"/>
        </w:rPr>
        <w:t>90</w:t>
      </w:r>
      <w:r>
        <w:rPr>
          <w:rFonts w:hint="eastAsia"/>
          <w:sz w:val="18"/>
          <w:szCs w:val="18"/>
        </w:rPr>
        <w:t>个工作日或者剩余存续期不超过</w:t>
      </w:r>
      <w:r>
        <w:rPr>
          <w:rFonts w:hint="eastAsia"/>
          <w:sz w:val="18"/>
          <w:szCs w:val="18"/>
        </w:rPr>
        <w:t>90</w:t>
      </w:r>
      <w:r>
        <w:rPr>
          <w:rFonts w:hint="eastAsia"/>
          <w:sz w:val="18"/>
          <w:szCs w:val="18"/>
        </w:rPr>
        <w:t>个工作日的，可以不编制理财产品当期的季度、半年度和年度报告。</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2</w:t>
      </w:r>
      <w:r>
        <w:rPr>
          <w:rFonts w:hint="eastAsia"/>
          <w:sz w:val="18"/>
          <w:szCs w:val="18"/>
        </w:rPr>
        <w:t>）在本理财产品存续期间，温州银行可以提前</w:t>
      </w:r>
      <w:r>
        <w:rPr>
          <w:rFonts w:hint="eastAsia"/>
          <w:sz w:val="18"/>
          <w:szCs w:val="18"/>
        </w:rPr>
        <w:t>2</w:t>
      </w:r>
      <w:r>
        <w:rPr>
          <w:rFonts w:hint="eastAsia"/>
          <w:sz w:val="18"/>
          <w:szCs w:val="18"/>
        </w:rPr>
        <w:t>个工作日发布相关信息，对投资范围、投资品种、投资比例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w:t>
      </w:r>
      <w:r>
        <w:rPr>
          <w:rFonts w:hint="eastAsia"/>
          <w:sz w:val="18"/>
          <w:szCs w:val="18"/>
        </w:rPr>
        <w:t>10</w:t>
      </w:r>
      <w:r>
        <w:rPr>
          <w:rFonts w:hint="eastAsia"/>
          <w:sz w:val="18"/>
          <w:szCs w:val="18"/>
        </w:rPr>
        <w:t>个工作日内划转至投资者账户。逾期未赎回的，视为同意。</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3</w:t>
      </w:r>
      <w:r>
        <w:rPr>
          <w:rFonts w:hint="eastAsia"/>
          <w:sz w:val="18"/>
          <w:szCs w:val="18"/>
        </w:rPr>
        <w:t>）温州银行将在每个开放周期结束后</w:t>
      </w:r>
      <w:r>
        <w:rPr>
          <w:rFonts w:hint="eastAsia"/>
          <w:sz w:val="18"/>
          <w:szCs w:val="18"/>
        </w:rPr>
        <w:t>2</w:t>
      </w:r>
      <w:r>
        <w:rPr>
          <w:rFonts w:hint="eastAsia"/>
          <w:sz w:val="18"/>
          <w:szCs w:val="18"/>
        </w:rPr>
        <w:t>日内，披露理财产品在投资运作周期清算日的份额净值、份额累计净值、认</w:t>
      </w:r>
      <w:r>
        <w:rPr>
          <w:rFonts w:hint="eastAsia"/>
          <w:sz w:val="18"/>
          <w:szCs w:val="18"/>
        </w:rPr>
        <w:t>/</w:t>
      </w:r>
      <w:r>
        <w:rPr>
          <w:rFonts w:hint="eastAsia"/>
          <w:sz w:val="18"/>
          <w:szCs w:val="18"/>
        </w:rPr>
        <w:t>申购价格和赎回价格，在定期报告中披露理财产品在季度、半年和年度最后一个市场交易日的份额净值、份额累计净值和资产净值。</w:t>
      </w:r>
    </w:p>
    <w:p w:rsidR="00562CD5" w:rsidRDefault="00C528B1">
      <w:pPr>
        <w:adjustRightInd w:val="0"/>
        <w:snapToGrid w:val="0"/>
        <w:spacing w:line="286" w:lineRule="auto"/>
        <w:rPr>
          <w:sz w:val="18"/>
          <w:szCs w:val="18"/>
        </w:rPr>
      </w:pPr>
      <w:r>
        <w:rPr>
          <w:rFonts w:hint="eastAsia"/>
          <w:sz w:val="18"/>
          <w:szCs w:val="18"/>
        </w:rPr>
        <w:t>3</w:t>
      </w:r>
      <w:r>
        <w:rPr>
          <w:rFonts w:hint="eastAsia"/>
          <w:sz w:val="18"/>
          <w:szCs w:val="18"/>
        </w:rPr>
        <w:t>、到期公告：</w:t>
      </w:r>
    </w:p>
    <w:p w:rsidR="00562CD5" w:rsidRDefault="00C528B1">
      <w:pPr>
        <w:adjustRightInd w:val="0"/>
        <w:snapToGrid w:val="0"/>
        <w:spacing w:line="286" w:lineRule="auto"/>
        <w:rPr>
          <w:sz w:val="18"/>
          <w:szCs w:val="18"/>
        </w:rPr>
      </w:pPr>
      <w:r>
        <w:rPr>
          <w:rFonts w:hint="eastAsia"/>
          <w:sz w:val="18"/>
          <w:szCs w:val="18"/>
        </w:rPr>
        <w:t>（</w:t>
      </w:r>
      <w:r>
        <w:rPr>
          <w:rFonts w:hint="eastAsia"/>
          <w:sz w:val="18"/>
          <w:szCs w:val="18"/>
        </w:rPr>
        <w:t>1</w:t>
      </w:r>
      <w:r>
        <w:rPr>
          <w:rFonts w:hint="eastAsia"/>
          <w:sz w:val="18"/>
          <w:szCs w:val="18"/>
        </w:rPr>
        <w:t>）温州银行将在理财产品终止后</w:t>
      </w:r>
      <w:r>
        <w:rPr>
          <w:rFonts w:hint="eastAsia"/>
          <w:sz w:val="18"/>
          <w:szCs w:val="18"/>
        </w:rPr>
        <w:t>5</w:t>
      </w:r>
      <w:r>
        <w:rPr>
          <w:rFonts w:hint="eastAsia"/>
          <w:sz w:val="18"/>
          <w:szCs w:val="18"/>
        </w:rPr>
        <w:t>日内披露到期公告。</w:t>
      </w:r>
    </w:p>
    <w:p w:rsidR="00562CD5" w:rsidRDefault="00C528B1">
      <w:pPr>
        <w:adjustRightInd w:val="0"/>
        <w:snapToGrid w:val="0"/>
        <w:spacing w:line="286" w:lineRule="auto"/>
        <w:rPr>
          <w:b/>
          <w:sz w:val="18"/>
          <w:szCs w:val="18"/>
        </w:rPr>
      </w:pPr>
      <w:r>
        <w:rPr>
          <w:rFonts w:hint="eastAsia"/>
          <w:sz w:val="18"/>
          <w:szCs w:val="18"/>
        </w:rPr>
        <w:t>（</w:t>
      </w:r>
      <w:r>
        <w:rPr>
          <w:rFonts w:hint="eastAsia"/>
          <w:sz w:val="18"/>
          <w:szCs w:val="18"/>
        </w:rPr>
        <w:t>2</w:t>
      </w:r>
      <w:r>
        <w:rPr>
          <w:rFonts w:hint="eastAsia"/>
          <w:sz w:val="18"/>
          <w:szCs w:val="18"/>
        </w:rPr>
        <w:t>）</w:t>
      </w:r>
      <w:r>
        <w:rPr>
          <w:rFonts w:hint="eastAsia"/>
          <w:b/>
          <w:sz w:val="18"/>
          <w:szCs w:val="18"/>
        </w:rPr>
        <w:t>温州银行如在特定情况下终止本产品，将于实际终止日提前至少</w:t>
      </w:r>
      <w:r>
        <w:rPr>
          <w:b/>
          <w:sz w:val="18"/>
          <w:szCs w:val="18"/>
        </w:rPr>
        <w:t>1</w:t>
      </w:r>
      <w:r>
        <w:rPr>
          <w:rFonts w:hint="eastAsia"/>
          <w:b/>
          <w:sz w:val="18"/>
          <w:szCs w:val="18"/>
        </w:rPr>
        <w:t>个工作日，在温州银行网站和相关网点发布相关信息公告。</w:t>
      </w:r>
    </w:p>
    <w:p w:rsidR="00562CD5" w:rsidRDefault="00C528B1">
      <w:pPr>
        <w:adjustRightInd w:val="0"/>
        <w:snapToGrid w:val="0"/>
        <w:spacing w:line="286" w:lineRule="auto"/>
        <w:rPr>
          <w:sz w:val="18"/>
          <w:szCs w:val="18"/>
        </w:rPr>
      </w:pPr>
      <w:r>
        <w:rPr>
          <w:rFonts w:hint="eastAsia"/>
          <w:sz w:val="18"/>
          <w:szCs w:val="18"/>
        </w:rPr>
        <w:t>4</w:t>
      </w:r>
      <w:r>
        <w:rPr>
          <w:rFonts w:hint="eastAsia"/>
          <w:sz w:val="18"/>
          <w:szCs w:val="18"/>
        </w:rPr>
        <w:t>、温州银行将在理财期内在温州银行网站（</w:t>
      </w:r>
      <w:r>
        <w:rPr>
          <w:rFonts w:hint="eastAsia"/>
          <w:sz w:val="18"/>
          <w:szCs w:val="18"/>
        </w:rPr>
        <w:t>www.wzbank.cn</w:t>
      </w:r>
      <w:r>
        <w:rPr>
          <w:rFonts w:hint="eastAsia"/>
          <w:sz w:val="18"/>
          <w:szCs w:val="18"/>
        </w:rPr>
        <w:t>）对本产品说明书予以公示。产品存续期间，投资者应当登录温州银行网站（</w:t>
      </w:r>
      <w:r>
        <w:rPr>
          <w:rFonts w:hint="eastAsia"/>
          <w:sz w:val="18"/>
          <w:szCs w:val="18"/>
        </w:rPr>
        <w:t>www.wzbank.cn</w:t>
      </w:r>
      <w:r>
        <w:rPr>
          <w:rFonts w:hint="eastAsia"/>
          <w:sz w:val="18"/>
          <w:szCs w:val="18"/>
        </w:rPr>
        <w:t>）获取与本理财产品相关的信息。</w:t>
      </w:r>
    </w:p>
    <w:p w:rsidR="00562CD5" w:rsidRDefault="00C528B1">
      <w:pPr>
        <w:adjustRightInd w:val="0"/>
        <w:snapToGrid w:val="0"/>
        <w:spacing w:line="276" w:lineRule="auto"/>
        <w:rPr>
          <w:b/>
          <w:sz w:val="18"/>
          <w:szCs w:val="18"/>
        </w:rPr>
      </w:pPr>
      <w:r>
        <w:rPr>
          <w:rFonts w:hint="eastAsia"/>
          <w:b/>
          <w:sz w:val="18"/>
          <w:szCs w:val="18"/>
        </w:rPr>
        <w:t>投资者信息管理</w:t>
      </w:r>
    </w:p>
    <w:p w:rsidR="00562CD5" w:rsidRDefault="00C528B1">
      <w:pPr>
        <w:adjustRightInd w:val="0"/>
        <w:snapToGrid w:val="0"/>
        <w:spacing w:line="276" w:lineRule="auto"/>
        <w:rPr>
          <w:b/>
          <w:sz w:val="18"/>
          <w:szCs w:val="18"/>
        </w:rPr>
      </w:pPr>
      <w:r>
        <w:rPr>
          <w:rFonts w:hint="eastAsia"/>
          <w:sz w:val="18"/>
          <w:szCs w:val="18"/>
        </w:rPr>
        <w:t>温州银行对投资者所签署理财相关协议及其条款负有保密义务。除法律、法规另有规定或监管机构另有要求外，未经投资者书面许可，温州银行不会向任何组织、个人提供或泄露与客户有关的业务资料及信息。</w:t>
      </w:r>
    </w:p>
    <w:p w:rsidR="00562CD5" w:rsidRDefault="00C528B1">
      <w:pPr>
        <w:adjustRightInd w:val="0"/>
        <w:snapToGrid w:val="0"/>
        <w:spacing w:line="286" w:lineRule="auto"/>
        <w:rPr>
          <w:b/>
          <w:sz w:val="18"/>
          <w:szCs w:val="18"/>
        </w:rPr>
      </w:pPr>
      <w:r>
        <w:rPr>
          <w:rFonts w:hint="eastAsia"/>
          <w:b/>
          <w:sz w:val="18"/>
          <w:szCs w:val="18"/>
        </w:rPr>
        <w:t>产品购买</w:t>
      </w:r>
    </w:p>
    <w:p w:rsidR="00562CD5" w:rsidRDefault="00C528B1">
      <w:pPr>
        <w:adjustRightInd w:val="0"/>
        <w:snapToGrid w:val="0"/>
        <w:spacing w:line="286" w:lineRule="auto"/>
        <w:rPr>
          <w:sz w:val="18"/>
          <w:szCs w:val="18"/>
        </w:rPr>
      </w:pPr>
      <w:r>
        <w:rPr>
          <w:sz w:val="18"/>
          <w:szCs w:val="18"/>
        </w:rPr>
        <w:t>1</w:t>
      </w:r>
      <w:r>
        <w:rPr>
          <w:rFonts w:hint="eastAsia"/>
          <w:sz w:val="18"/>
          <w:szCs w:val="18"/>
        </w:rPr>
        <w:t>、认购、申购手续：在产品认购期、开放期内，个人投资者请带本人身份证原件及复印件、温州银行借记卡等到银行营业网点办理，或登录温州银行网银专业版办理。</w:t>
      </w:r>
    </w:p>
    <w:p w:rsidR="00562CD5" w:rsidRDefault="00C528B1">
      <w:pPr>
        <w:adjustRightInd w:val="0"/>
        <w:snapToGrid w:val="0"/>
        <w:spacing w:line="286" w:lineRule="auto"/>
        <w:rPr>
          <w:sz w:val="18"/>
          <w:szCs w:val="18"/>
        </w:rPr>
      </w:pPr>
      <w:r>
        <w:rPr>
          <w:sz w:val="18"/>
          <w:szCs w:val="18"/>
        </w:rPr>
        <w:t>2</w:t>
      </w:r>
      <w:r>
        <w:rPr>
          <w:rFonts w:hint="eastAsia"/>
          <w:sz w:val="18"/>
          <w:szCs w:val="18"/>
        </w:rPr>
        <w:t>、资金划付：理财计划成立日，温州银行将按照投资者签署的理财计划合约中约定的购买金额从投资者资金账户中进行资金扣划，扣划前不做电话确认，无需客户另行授权。请投资者确保您的资金账户状态正常，如因资金账户状态异常而无法在理财开始日实现资金扣划，相应购买将做失败处理。</w:t>
      </w:r>
    </w:p>
    <w:p w:rsidR="00562CD5" w:rsidRDefault="00C528B1">
      <w:pPr>
        <w:adjustRightInd w:val="0"/>
        <w:snapToGrid w:val="0"/>
        <w:spacing w:line="286" w:lineRule="auto"/>
        <w:rPr>
          <w:sz w:val="18"/>
          <w:szCs w:val="18"/>
        </w:rPr>
      </w:pPr>
      <w:r>
        <w:rPr>
          <w:sz w:val="18"/>
          <w:szCs w:val="18"/>
        </w:rPr>
        <w:t>3</w:t>
      </w:r>
      <w:r>
        <w:rPr>
          <w:rFonts w:hint="eastAsia"/>
          <w:sz w:val="18"/>
          <w:szCs w:val="18"/>
        </w:rPr>
        <w:t>、产品发行规模有限，售完即止。</w:t>
      </w:r>
    </w:p>
    <w:p w:rsidR="00562CD5" w:rsidRDefault="00C528B1" w:rsidP="0075297D">
      <w:pPr>
        <w:spacing w:beforeLines="100" w:line="281" w:lineRule="auto"/>
        <w:rPr>
          <w:rFonts w:ascii="宋体" w:hAnsi="宋体"/>
          <w:szCs w:val="21"/>
        </w:rPr>
      </w:pPr>
      <w:r>
        <w:rPr>
          <w:rFonts w:ascii="宋体" w:hAnsi="宋体" w:hint="eastAsia"/>
          <w:szCs w:val="21"/>
        </w:rPr>
        <w:t xml:space="preserve">         投资者签章：                                 日期：</w:t>
      </w:r>
    </w:p>
    <w:p w:rsidR="00562CD5" w:rsidRDefault="00562CD5">
      <w:pPr>
        <w:spacing w:line="372" w:lineRule="auto"/>
        <w:rPr>
          <w:rFonts w:ascii="黑体" w:eastAsia="黑体"/>
          <w:sz w:val="30"/>
          <w:szCs w:val="30"/>
        </w:rPr>
      </w:pPr>
    </w:p>
    <w:sectPr w:rsidR="00562CD5" w:rsidSect="00562CD5">
      <w:footerReference w:type="default" r:id="rId7"/>
      <w:pgSz w:w="11906" w:h="16838"/>
      <w:pgMar w:top="851" w:right="1361" w:bottom="851" w:left="136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4125" w:rsidRDefault="00714125" w:rsidP="00562CD5">
      <w:pPr>
        <w:pStyle w:val="a5"/>
      </w:pPr>
      <w:r>
        <w:separator/>
      </w:r>
    </w:p>
  </w:endnote>
  <w:endnote w:type="continuationSeparator" w:id="1">
    <w:p w:rsidR="00714125" w:rsidRDefault="00714125" w:rsidP="00562CD5">
      <w:pPr>
        <w:pStyle w:val="a5"/>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Arial Unicode MS"/>
    <w:charset w:val="86"/>
    <w:family w:val="modern"/>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CD5" w:rsidRDefault="00C528B1">
    <w:pPr>
      <w:pStyle w:val="a6"/>
      <w:jc w:val="center"/>
    </w:pPr>
    <w:r>
      <w:rPr>
        <w:lang w:val="zh-CN"/>
      </w:rPr>
      <w:t xml:space="preserve"> </w:t>
    </w:r>
    <w:r w:rsidR="006E1462">
      <w:rPr>
        <w:b/>
        <w:sz w:val="24"/>
        <w:szCs w:val="24"/>
      </w:rPr>
      <w:fldChar w:fldCharType="begin"/>
    </w:r>
    <w:r>
      <w:rPr>
        <w:b/>
      </w:rPr>
      <w:instrText>PAGE</w:instrText>
    </w:r>
    <w:r w:rsidR="006E1462">
      <w:rPr>
        <w:b/>
        <w:sz w:val="24"/>
        <w:szCs w:val="24"/>
      </w:rPr>
      <w:fldChar w:fldCharType="separate"/>
    </w:r>
    <w:r w:rsidR="0075297D">
      <w:rPr>
        <w:b/>
        <w:noProof/>
      </w:rPr>
      <w:t>6</w:t>
    </w:r>
    <w:r w:rsidR="006E1462">
      <w:rPr>
        <w:b/>
        <w:sz w:val="24"/>
        <w:szCs w:val="24"/>
      </w:rPr>
      <w:fldChar w:fldCharType="end"/>
    </w:r>
    <w:r>
      <w:rPr>
        <w:lang w:val="zh-CN"/>
      </w:rPr>
      <w:t xml:space="preserve"> / </w:t>
    </w:r>
    <w:r w:rsidR="006E1462">
      <w:rPr>
        <w:b/>
        <w:sz w:val="24"/>
        <w:szCs w:val="24"/>
      </w:rPr>
      <w:fldChar w:fldCharType="begin"/>
    </w:r>
    <w:r>
      <w:rPr>
        <w:b/>
      </w:rPr>
      <w:instrText>NUMPAGES</w:instrText>
    </w:r>
    <w:r w:rsidR="006E1462">
      <w:rPr>
        <w:b/>
        <w:sz w:val="24"/>
        <w:szCs w:val="24"/>
      </w:rPr>
      <w:fldChar w:fldCharType="separate"/>
    </w:r>
    <w:r w:rsidR="0075297D">
      <w:rPr>
        <w:b/>
        <w:noProof/>
      </w:rPr>
      <w:t>8</w:t>
    </w:r>
    <w:r w:rsidR="006E1462">
      <w:rPr>
        <w:b/>
        <w:sz w:val="24"/>
        <w:szCs w:val="24"/>
      </w:rPr>
      <w:fldChar w:fldCharType="end"/>
    </w:r>
  </w:p>
  <w:p w:rsidR="00562CD5" w:rsidRDefault="00562CD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4125" w:rsidRDefault="00714125" w:rsidP="00562CD5">
      <w:pPr>
        <w:pStyle w:val="a5"/>
      </w:pPr>
      <w:r>
        <w:separator/>
      </w:r>
    </w:p>
  </w:footnote>
  <w:footnote w:type="continuationSeparator" w:id="1">
    <w:p w:rsidR="00714125" w:rsidRDefault="00714125" w:rsidP="00562CD5">
      <w:pPr>
        <w:pStyle w:val="a5"/>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oNotTrackMoves/>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5431"/>
    <w:rsid w:val="00017E38"/>
    <w:rsid w:val="00020457"/>
    <w:rsid w:val="00021A55"/>
    <w:rsid w:val="0002530D"/>
    <w:rsid w:val="00025D9C"/>
    <w:rsid w:val="00030D80"/>
    <w:rsid w:val="00034AC5"/>
    <w:rsid w:val="00037BF4"/>
    <w:rsid w:val="0004551E"/>
    <w:rsid w:val="00072738"/>
    <w:rsid w:val="000773B8"/>
    <w:rsid w:val="000866FD"/>
    <w:rsid w:val="00097267"/>
    <w:rsid w:val="000A6768"/>
    <w:rsid w:val="000A76AD"/>
    <w:rsid w:val="000C4E56"/>
    <w:rsid w:val="000C5851"/>
    <w:rsid w:val="000C5EC0"/>
    <w:rsid w:val="000E1C51"/>
    <w:rsid w:val="000E4191"/>
    <w:rsid w:val="000E4DFB"/>
    <w:rsid w:val="001138BD"/>
    <w:rsid w:val="00127687"/>
    <w:rsid w:val="001327C2"/>
    <w:rsid w:val="001513E8"/>
    <w:rsid w:val="00172A27"/>
    <w:rsid w:val="00174C1E"/>
    <w:rsid w:val="00175BC0"/>
    <w:rsid w:val="00184A9E"/>
    <w:rsid w:val="00184D86"/>
    <w:rsid w:val="001A7596"/>
    <w:rsid w:val="001B072E"/>
    <w:rsid w:val="001B3C36"/>
    <w:rsid w:val="001C03A0"/>
    <w:rsid w:val="001C4450"/>
    <w:rsid w:val="001C4E1F"/>
    <w:rsid w:val="001C5082"/>
    <w:rsid w:val="001E4E49"/>
    <w:rsid w:val="00200136"/>
    <w:rsid w:val="00200E4E"/>
    <w:rsid w:val="002227DF"/>
    <w:rsid w:val="0022470B"/>
    <w:rsid w:val="00232248"/>
    <w:rsid w:val="00240905"/>
    <w:rsid w:val="00254268"/>
    <w:rsid w:val="00263685"/>
    <w:rsid w:val="00271508"/>
    <w:rsid w:val="00277F68"/>
    <w:rsid w:val="00280A05"/>
    <w:rsid w:val="00284CF7"/>
    <w:rsid w:val="00292B4F"/>
    <w:rsid w:val="002A574E"/>
    <w:rsid w:val="002B0DB2"/>
    <w:rsid w:val="002B4522"/>
    <w:rsid w:val="002B4C51"/>
    <w:rsid w:val="002C4EC2"/>
    <w:rsid w:val="002C6DDA"/>
    <w:rsid w:val="002D0900"/>
    <w:rsid w:val="002D0F6A"/>
    <w:rsid w:val="002D1B4C"/>
    <w:rsid w:val="002D2FEE"/>
    <w:rsid w:val="002D38E1"/>
    <w:rsid w:val="002E17C7"/>
    <w:rsid w:val="002F586E"/>
    <w:rsid w:val="002F72E1"/>
    <w:rsid w:val="00314F26"/>
    <w:rsid w:val="00316211"/>
    <w:rsid w:val="00331715"/>
    <w:rsid w:val="00337FAA"/>
    <w:rsid w:val="00346B5D"/>
    <w:rsid w:val="00355E03"/>
    <w:rsid w:val="00356C50"/>
    <w:rsid w:val="00365AC9"/>
    <w:rsid w:val="00367F10"/>
    <w:rsid w:val="00371C0E"/>
    <w:rsid w:val="00385A5F"/>
    <w:rsid w:val="00393B79"/>
    <w:rsid w:val="003A474E"/>
    <w:rsid w:val="003A6C6D"/>
    <w:rsid w:val="003C17FA"/>
    <w:rsid w:val="003C40FE"/>
    <w:rsid w:val="003C62A4"/>
    <w:rsid w:val="003C7E63"/>
    <w:rsid w:val="003D56A0"/>
    <w:rsid w:val="003E17D1"/>
    <w:rsid w:val="003E695A"/>
    <w:rsid w:val="00401B1B"/>
    <w:rsid w:val="0041485A"/>
    <w:rsid w:val="004149A7"/>
    <w:rsid w:val="00417895"/>
    <w:rsid w:val="00417F06"/>
    <w:rsid w:val="00421FF8"/>
    <w:rsid w:val="0043061D"/>
    <w:rsid w:val="004317BE"/>
    <w:rsid w:val="00456806"/>
    <w:rsid w:val="004668AB"/>
    <w:rsid w:val="00470F35"/>
    <w:rsid w:val="00492A29"/>
    <w:rsid w:val="004A45A8"/>
    <w:rsid w:val="004A65D5"/>
    <w:rsid w:val="004C1A59"/>
    <w:rsid w:val="004C668B"/>
    <w:rsid w:val="004D1922"/>
    <w:rsid w:val="004D22D2"/>
    <w:rsid w:val="004D78AD"/>
    <w:rsid w:val="004E1171"/>
    <w:rsid w:val="004F5496"/>
    <w:rsid w:val="0050183B"/>
    <w:rsid w:val="00520212"/>
    <w:rsid w:val="005236A4"/>
    <w:rsid w:val="00526355"/>
    <w:rsid w:val="00540B17"/>
    <w:rsid w:val="00541381"/>
    <w:rsid w:val="00543E6B"/>
    <w:rsid w:val="0054786A"/>
    <w:rsid w:val="00547BDD"/>
    <w:rsid w:val="00562CD5"/>
    <w:rsid w:val="00565D6D"/>
    <w:rsid w:val="0056627C"/>
    <w:rsid w:val="00583A42"/>
    <w:rsid w:val="005C6273"/>
    <w:rsid w:val="005D00A7"/>
    <w:rsid w:val="005F0ADF"/>
    <w:rsid w:val="00606B12"/>
    <w:rsid w:val="00611E20"/>
    <w:rsid w:val="006134D2"/>
    <w:rsid w:val="00634230"/>
    <w:rsid w:val="00635890"/>
    <w:rsid w:val="00645D61"/>
    <w:rsid w:val="00653252"/>
    <w:rsid w:val="00653437"/>
    <w:rsid w:val="006565AF"/>
    <w:rsid w:val="00680B55"/>
    <w:rsid w:val="006871D5"/>
    <w:rsid w:val="006940BB"/>
    <w:rsid w:val="006A44DB"/>
    <w:rsid w:val="006A4DCA"/>
    <w:rsid w:val="006B741F"/>
    <w:rsid w:val="006C5F6C"/>
    <w:rsid w:val="006E0989"/>
    <w:rsid w:val="006E1462"/>
    <w:rsid w:val="006E7B4A"/>
    <w:rsid w:val="006F182B"/>
    <w:rsid w:val="006F369E"/>
    <w:rsid w:val="00714125"/>
    <w:rsid w:val="0071552D"/>
    <w:rsid w:val="00716CFC"/>
    <w:rsid w:val="007202C9"/>
    <w:rsid w:val="00721727"/>
    <w:rsid w:val="0072441B"/>
    <w:rsid w:val="00727B1B"/>
    <w:rsid w:val="00740142"/>
    <w:rsid w:val="007418E8"/>
    <w:rsid w:val="007420B8"/>
    <w:rsid w:val="0075297D"/>
    <w:rsid w:val="0075376D"/>
    <w:rsid w:val="00754D95"/>
    <w:rsid w:val="00755104"/>
    <w:rsid w:val="00776115"/>
    <w:rsid w:val="007A0DD0"/>
    <w:rsid w:val="007A2668"/>
    <w:rsid w:val="007A725C"/>
    <w:rsid w:val="007B2CA9"/>
    <w:rsid w:val="007B319B"/>
    <w:rsid w:val="007B43C7"/>
    <w:rsid w:val="007C0C6F"/>
    <w:rsid w:val="007C0EF9"/>
    <w:rsid w:val="007C2A45"/>
    <w:rsid w:val="007E78B8"/>
    <w:rsid w:val="007F11AE"/>
    <w:rsid w:val="0080322B"/>
    <w:rsid w:val="00816CC8"/>
    <w:rsid w:val="00817333"/>
    <w:rsid w:val="008348E3"/>
    <w:rsid w:val="0083490C"/>
    <w:rsid w:val="008507F2"/>
    <w:rsid w:val="00853209"/>
    <w:rsid w:val="00864A10"/>
    <w:rsid w:val="00867928"/>
    <w:rsid w:val="00875641"/>
    <w:rsid w:val="00883BDE"/>
    <w:rsid w:val="00884B07"/>
    <w:rsid w:val="008934C4"/>
    <w:rsid w:val="008A0854"/>
    <w:rsid w:val="008A3BD6"/>
    <w:rsid w:val="008A4606"/>
    <w:rsid w:val="008C0CAB"/>
    <w:rsid w:val="008E35D2"/>
    <w:rsid w:val="008F49AF"/>
    <w:rsid w:val="008F77F3"/>
    <w:rsid w:val="00905E6C"/>
    <w:rsid w:val="0091076A"/>
    <w:rsid w:val="00910BA0"/>
    <w:rsid w:val="00923305"/>
    <w:rsid w:val="00926BDB"/>
    <w:rsid w:val="00926E46"/>
    <w:rsid w:val="009361EA"/>
    <w:rsid w:val="00940984"/>
    <w:rsid w:val="0094404B"/>
    <w:rsid w:val="00955C82"/>
    <w:rsid w:val="0095723A"/>
    <w:rsid w:val="009660F8"/>
    <w:rsid w:val="009726CF"/>
    <w:rsid w:val="00977611"/>
    <w:rsid w:val="0098184C"/>
    <w:rsid w:val="0098325C"/>
    <w:rsid w:val="0098666D"/>
    <w:rsid w:val="00987D5E"/>
    <w:rsid w:val="009943AE"/>
    <w:rsid w:val="0099651C"/>
    <w:rsid w:val="009A7FF7"/>
    <w:rsid w:val="009C461C"/>
    <w:rsid w:val="009E196D"/>
    <w:rsid w:val="009F35B4"/>
    <w:rsid w:val="009F56F9"/>
    <w:rsid w:val="00A02C99"/>
    <w:rsid w:val="00A03C1B"/>
    <w:rsid w:val="00A1003A"/>
    <w:rsid w:val="00A20DBB"/>
    <w:rsid w:val="00A30958"/>
    <w:rsid w:val="00A34CB4"/>
    <w:rsid w:val="00A5197E"/>
    <w:rsid w:val="00A55101"/>
    <w:rsid w:val="00A556DD"/>
    <w:rsid w:val="00A75676"/>
    <w:rsid w:val="00A85414"/>
    <w:rsid w:val="00A94352"/>
    <w:rsid w:val="00A94D55"/>
    <w:rsid w:val="00AA0BCA"/>
    <w:rsid w:val="00AA235B"/>
    <w:rsid w:val="00AA798B"/>
    <w:rsid w:val="00AB07C5"/>
    <w:rsid w:val="00AB1240"/>
    <w:rsid w:val="00AB4C88"/>
    <w:rsid w:val="00AB5494"/>
    <w:rsid w:val="00AB5E02"/>
    <w:rsid w:val="00AC0326"/>
    <w:rsid w:val="00AC4F2E"/>
    <w:rsid w:val="00AC544C"/>
    <w:rsid w:val="00AF3269"/>
    <w:rsid w:val="00B17227"/>
    <w:rsid w:val="00B1785B"/>
    <w:rsid w:val="00B21C5E"/>
    <w:rsid w:val="00B3434D"/>
    <w:rsid w:val="00B54322"/>
    <w:rsid w:val="00B60E76"/>
    <w:rsid w:val="00B67075"/>
    <w:rsid w:val="00B713E7"/>
    <w:rsid w:val="00B9709A"/>
    <w:rsid w:val="00BB0288"/>
    <w:rsid w:val="00BB3ECD"/>
    <w:rsid w:val="00BD5D3E"/>
    <w:rsid w:val="00BF2243"/>
    <w:rsid w:val="00BF4706"/>
    <w:rsid w:val="00C027A1"/>
    <w:rsid w:val="00C03715"/>
    <w:rsid w:val="00C0532A"/>
    <w:rsid w:val="00C059F8"/>
    <w:rsid w:val="00C242A5"/>
    <w:rsid w:val="00C45809"/>
    <w:rsid w:val="00C528B1"/>
    <w:rsid w:val="00C54665"/>
    <w:rsid w:val="00C57023"/>
    <w:rsid w:val="00C80707"/>
    <w:rsid w:val="00C82972"/>
    <w:rsid w:val="00C84D81"/>
    <w:rsid w:val="00C93482"/>
    <w:rsid w:val="00C94D52"/>
    <w:rsid w:val="00C97136"/>
    <w:rsid w:val="00CA13A5"/>
    <w:rsid w:val="00CA4DD5"/>
    <w:rsid w:val="00CB01CC"/>
    <w:rsid w:val="00CB45F2"/>
    <w:rsid w:val="00CB533E"/>
    <w:rsid w:val="00CC2C76"/>
    <w:rsid w:val="00CC3FF6"/>
    <w:rsid w:val="00CC765E"/>
    <w:rsid w:val="00CF36F4"/>
    <w:rsid w:val="00D06916"/>
    <w:rsid w:val="00D16171"/>
    <w:rsid w:val="00D3106B"/>
    <w:rsid w:val="00D356D1"/>
    <w:rsid w:val="00D36208"/>
    <w:rsid w:val="00D41F07"/>
    <w:rsid w:val="00D421F4"/>
    <w:rsid w:val="00D43A40"/>
    <w:rsid w:val="00D512E8"/>
    <w:rsid w:val="00D54ABF"/>
    <w:rsid w:val="00D55DFB"/>
    <w:rsid w:val="00D56200"/>
    <w:rsid w:val="00D57AFE"/>
    <w:rsid w:val="00D6260D"/>
    <w:rsid w:val="00D67B9A"/>
    <w:rsid w:val="00D82A41"/>
    <w:rsid w:val="00D92AEE"/>
    <w:rsid w:val="00D93FDC"/>
    <w:rsid w:val="00DA1A39"/>
    <w:rsid w:val="00DA1CFB"/>
    <w:rsid w:val="00DA3F75"/>
    <w:rsid w:val="00DA74F6"/>
    <w:rsid w:val="00DB0875"/>
    <w:rsid w:val="00DB1BDD"/>
    <w:rsid w:val="00DB237F"/>
    <w:rsid w:val="00DC3ABC"/>
    <w:rsid w:val="00DC7C59"/>
    <w:rsid w:val="00DD29AD"/>
    <w:rsid w:val="00DE34C0"/>
    <w:rsid w:val="00E1017C"/>
    <w:rsid w:val="00E101B0"/>
    <w:rsid w:val="00E1059C"/>
    <w:rsid w:val="00E12F16"/>
    <w:rsid w:val="00E16528"/>
    <w:rsid w:val="00E26BF1"/>
    <w:rsid w:val="00E3681B"/>
    <w:rsid w:val="00E40303"/>
    <w:rsid w:val="00E42C84"/>
    <w:rsid w:val="00E52BC9"/>
    <w:rsid w:val="00E65982"/>
    <w:rsid w:val="00E65B25"/>
    <w:rsid w:val="00E662D2"/>
    <w:rsid w:val="00E70F57"/>
    <w:rsid w:val="00E71505"/>
    <w:rsid w:val="00E754E0"/>
    <w:rsid w:val="00E757BB"/>
    <w:rsid w:val="00E84D0D"/>
    <w:rsid w:val="00E8643F"/>
    <w:rsid w:val="00E87CB9"/>
    <w:rsid w:val="00E909CC"/>
    <w:rsid w:val="00E92043"/>
    <w:rsid w:val="00EA4323"/>
    <w:rsid w:val="00EA75DD"/>
    <w:rsid w:val="00EB2B8B"/>
    <w:rsid w:val="00EB3AF1"/>
    <w:rsid w:val="00EB3CE4"/>
    <w:rsid w:val="00EB6784"/>
    <w:rsid w:val="00EC4367"/>
    <w:rsid w:val="00ED4F8B"/>
    <w:rsid w:val="00EE4A12"/>
    <w:rsid w:val="00EE6C05"/>
    <w:rsid w:val="00F049E8"/>
    <w:rsid w:val="00F064BC"/>
    <w:rsid w:val="00F10D97"/>
    <w:rsid w:val="00F15351"/>
    <w:rsid w:val="00F2208D"/>
    <w:rsid w:val="00F3172C"/>
    <w:rsid w:val="00F36FC1"/>
    <w:rsid w:val="00F45477"/>
    <w:rsid w:val="00F550F5"/>
    <w:rsid w:val="00F64D50"/>
    <w:rsid w:val="00F71DFF"/>
    <w:rsid w:val="00F8620F"/>
    <w:rsid w:val="00F86732"/>
    <w:rsid w:val="00F9213E"/>
    <w:rsid w:val="00F94C2E"/>
    <w:rsid w:val="00FA0888"/>
    <w:rsid w:val="00FB5B61"/>
    <w:rsid w:val="00FC423A"/>
    <w:rsid w:val="00FC488B"/>
    <w:rsid w:val="00FD4E62"/>
    <w:rsid w:val="00FE1770"/>
    <w:rsid w:val="00FE2C39"/>
    <w:rsid w:val="00FE4E37"/>
    <w:rsid w:val="752C4A25"/>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CD5"/>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unhideWhenUsed/>
    <w:rsid w:val="00562CD5"/>
    <w:rPr>
      <w:b/>
      <w:bCs/>
    </w:rPr>
  </w:style>
  <w:style w:type="paragraph" w:styleId="a4">
    <w:name w:val="annotation text"/>
    <w:basedOn w:val="a"/>
    <w:link w:val="Char0"/>
    <w:uiPriority w:val="99"/>
    <w:semiHidden/>
    <w:unhideWhenUsed/>
    <w:rsid w:val="00562CD5"/>
    <w:pPr>
      <w:jc w:val="left"/>
    </w:pPr>
    <w:rPr>
      <w:lang/>
    </w:rPr>
  </w:style>
  <w:style w:type="paragraph" w:styleId="a5">
    <w:name w:val="Balloon Text"/>
    <w:basedOn w:val="a"/>
    <w:link w:val="Char1"/>
    <w:uiPriority w:val="99"/>
    <w:semiHidden/>
    <w:unhideWhenUsed/>
    <w:rsid w:val="00562CD5"/>
    <w:rPr>
      <w:sz w:val="18"/>
      <w:szCs w:val="18"/>
      <w:lang/>
    </w:rPr>
  </w:style>
  <w:style w:type="paragraph" w:styleId="a6">
    <w:name w:val="footer"/>
    <w:basedOn w:val="a"/>
    <w:link w:val="Char2"/>
    <w:uiPriority w:val="99"/>
    <w:unhideWhenUsed/>
    <w:rsid w:val="00562CD5"/>
    <w:pPr>
      <w:tabs>
        <w:tab w:val="center" w:pos="4153"/>
        <w:tab w:val="right" w:pos="8306"/>
      </w:tabs>
      <w:snapToGrid w:val="0"/>
      <w:jc w:val="left"/>
    </w:pPr>
    <w:rPr>
      <w:rFonts w:ascii="Calibri" w:hAnsi="Calibri"/>
      <w:kern w:val="0"/>
      <w:sz w:val="18"/>
      <w:szCs w:val="18"/>
      <w:lang/>
    </w:rPr>
  </w:style>
  <w:style w:type="paragraph" w:styleId="a7">
    <w:name w:val="header"/>
    <w:basedOn w:val="a"/>
    <w:link w:val="Char3"/>
    <w:uiPriority w:val="99"/>
    <w:unhideWhenUsed/>
    <w:rsid w:val="00562CD5"/>
    <w:pPr>
      <w:pBdr>
        <w:bottom w:val="single" w:sz="6" w:space="1" w:color="auto"/>
      </w:pBdr>
      <w:tabs>
        <w:tab w:val="center" w:pos="4153"/>
        <w:tab w:val="right" w:pos="8306"/>
      </w:tabs>
      <w:snapToGrid w:val="0"/>
      <w:jc w:val="center"/>
    </w:pPr>
    <w:rPr>
      <w:rFonts w:ascii="Calibri" w:hAnsi="Calibri"/>
      <w:kern w:val="0"/>
      <w:sz w:val="18"/>
      <w:szCs w:val="18"/>
      <w:lang/>
    </w:rPr>
  </w:style>
  <w:style w:type="paragraph" w:styleId="a8">
    <w:name w:val="Normal (Web)"/>
    <w:basedOn w:val="a"/>
    <w:uiPriority w:val="99"/>
    <w:unhideWhenUsed/>
    <w:rsid w:val="00562CD5"/>
    <w:rPr>
      <w:sz w:val="24"/>
    </w:rPr>
  </w:style>
  <w:style w:type="character" w:styleId="a9">
    <w:name w:val="annotation reference"/>
    <w:uiPriority w:val="99"/>
    <w:semiHidden/>
    <w:unhideWhenUsed/>
    <w:rsid w:val="00562CD5"/>
    <w:rPr>
      <w:sz w:val="21"/>
      <w:szCs w:val="21"/>
    </w:rPr>
  </w:style>
  <w:style w:type="paragraph" w:customStyle="1" w:styleId="msonormalcxspmiddle">
    <w:name w:val="msonormalcxspmiddle"/>
    <w:basedOn w:val="a"/>
    <w:rsid w:val="00562CD5"/>
    <w:pPr>
      <w:widowControl/>
      <w:spacing w:beforeAutospacing="1" w:afterAutospacing="1"/>
      <w:jc w:val="left"/>
    </w:pPr>
    <w:rPr>
      <w:rFonts w:ascii="宋体" w:hAnsi="宋体" w:cs="宋体"/>
      <w:kern w:val="0"/>
      <w:sz w:val="24"/>
      <w:szCs w:val="24"/>
    </w:rPr>
  </w:style>
  <w:style w:type="paragraph" w:styleId="aa">
    <w:name w:val="List Paragraph"/>
    <w:basedOn w:val="a"/>
    <w:uiPriority w:val="34"/>
    <w:qFormat/>
    <w:rsid w:val="00562CD5"/>
    <w:pPr>
      <w:widowControl/>
      <w:ind w:firstLine="420"/>
    </w:pPr>
    <w:rPr>
      <w:rFonts w:ascii="Calibri" w:hAnsi="Calibri" w:cs="宋体"/>
      <w:kern w:val="0"/>
      <w:szCs w:val="21"/>
    </w:rPr>
  </w:style>
  <w:style w:type="paragraph" w:customStyle="1" w:styleId="Default">
    <w:name w:val="Default"/>
    <w:qFormat/>
    <w:rsid w:val="00562CD5"/>
    <w:pPr>
      <w:widowControl w:val="0"/>
      <w:autoSpaceDE w:val="0"/>
      <w:autoSpaceDN w:val="0"/>
      <w:adjustRightInd w:val="0"/>
    </w:pPr>
    <w:rPr>
      <w:rFonts w:ascii="仿宋_GB2312" w:eastAsia="仿宋_GB2312" w:hAnsi="Times New Roman" w:cs="仿宋_GB2312"/>
      <w:color w:val="000000"/>
      <w:sz w:val="24"/>
      <w:szCs w:val="24"/>
    </w:rPr>
  </w:style>
  <w:style w:type="character" w:customStyle="1" w:styleId="Char3">
    <w:name w:val="页眉 Char"/>
    <w:link w:val="a7"/>
    <w:uiPriority w:val="99"/>
    <w:semiHidden/>
    <w:rsid w:val="00562CD5"/>
    <w:rPr>
      <w:sz w:val="18"/>
      <w:szCs w:val="18"/>
    </w:rPr>
  </w:style>
  <w:style w:type="character" w:customStyle="1" w:styleId="Char2">
    <w:name w:val="页脚 Char"/>
    <w:link w:val="a6"/>
    <w:uiPriority w:val="99"/>
    <w:rsid w:val="00562CD5"/>
    <w:rPr>
      <w:sz w:val="18"/>
      <w:szCs w:val="18"/>
    </w:rPr>
  </w:style>
  <w:style w:type="character" w:customStyle="1" w:styleId="Char1">
    <w:name w:val="批注框文本 Char"/>
    <w:link w:val="a5"/>
    <w:uiPriority w:val="99"/>
    <w:semiHidden/>
    <w:rsid w:val="00562CD5"/>
    <w:rPr>
      <w:rFonts w:ascii="Times New Roman" w:hAnsi="Times New Roman"/>
      <w:kern w:val="2"/>
      <w:sz w:val="18"/>
      <w:szCs w:val="18"/>
    </w:rPr>
  </w:style>
  <w:style w:type="character" w:customStyle="1" w:styleId="Char0">
    <w:name w:val="批注文字 Char"/>
    <w:link w:val="a4"/>
    <w:uiPriority w:val="99"/>
    <w:semiHidden/>
    <w:rsid w:val="00562CD5"/>
    <w:rPr>
      <w:rFonts w:ascii="Times New Roman" w:hAnsi="Times New Roman"/>
      <w:kern w:val="2"/>
      <w:sz w:val="21"/>
    </w:rPr>
  </w:style>
  <w:style w:type="character" w:customStyle="1" w:styleId="Char">
    <w:name w:val="批注主题 Char"/>
    <w:link w:val="a3"/>
    <w:uiPriority w:val="99"/>
    <w:semiHidden/>
    <w:rsid w:val="00562CD5"/>
    <w:rPr>
      <w:rFonts w:ascii="Times New Roman" w:hAnsi="Times New Roman"/>
      <w:b/>
      <w:bCs/>
      <w:kern w:val="2"/>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1793</Words>
  <Characters>10222</Characters>
  <Application>Microsoft Office Word</Application>
  <DocSecurity>0</DocSecurity>
  <Lines>85</Lines>
  <Paragraphs>23</Paragraphs>
  <ScaleCrop>false</ScaleCrop>
  <Company>微软中国</Company>
  <LinksUpToDate>false</LinksUpToDate>
  <CharactersWithSpaces>11992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温州银行“金鹿理财-温盈”1号银行理财计划风险揭示书</dc:title>
  <dc:creator>陈浩01</dc:creator>
  <cp:lastModifiedBy>陈浩</cp:lastModifiedBy>
  <cp:revision>192</cp:revision>
  <cp:lastPrinted>2020-08-27T02:08:00Z</cp:lastPrinted>
  <dcterms:created xsi:type="dcterms:W3CDTF">2013-06-09T01:57:00Z</dcterms:created>
  <dcterms:modified xsi:type="dcterms:W3CDTF">2022-01-06T06:13:00Z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