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9" w:lineRule="auto"/>
        <w:ind w:firstLine="420"/>
        <w:rPr>
          <w:rFonts w:ascii="宋体" w:hAnsi="宋体"/>
          <w:szCs w:val="21"/>
        </w:rPr>
      </w:pPr>
      <w:r>
        <w:rPr>
          <w:rFonts w:hint="eastAsia" w:ascii="宋体" w:hAnsi="宋体"/>
          <w:szCs w:val="21"/>
        </w:rPr>
        <w:t>一、</w:t>
      </w:r>
      <w:r>
        <w:rPr>
          <w:rFonts w:hint="eastAsia"/>
          <w:szCs w:val="21"/>
        </w:rPr>
        <w:t>您将</w:t>
      </w:r>
      <w:r>
        <w:rPr>
          <w:rFonts w:hint="eastAsia" w:ascii="宋体" w:hAnsi="宋体"/>
          <w:szCs w:val="21"/>
        </w:rPr>
        <w:t>购买</w:t>
      </w:r>
      <w:r>
        <w:rPr>
          <w:rFonts w:hint="eastAsia"/>
          <w:szCs w:val="21"/>
        </w:rPr>
        <w:t>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pPr>
        <w:adjustRightInd w:val="0"/>
        <w:snapToGrid w:val="0"/>
        <w:spacing w:line="319"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9"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9"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9" w:lineRule="auto"/>
        <w:ind w:firstLine="420"/>
        <w:rPr>
          <w:rFonts w:ascii="宋体" w:hAnsi="宋体"/>
          <w:szCs w:val="21"/>
        </w:rPr>
      </w:pPr>
      <w:r>
        <w:rPr>
          <w:rFonts w:hint="eastAsia" w:ascii="宋体" w:hAnsi="宋体"/>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pPr>
        <w:adjustRightInd w:val="0"/>
        <w:snapToGrid w:val="0"/>
        <w:spacing w:line="319"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2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22" w:lineRule="auto"/>
        <w:rPr>
          <w:b/>
          <w:szCs w:val="21"/>
        </w:rPr>
      </w:pPr>
      <w:r>
        <w:rPr>
          <w:rFonts w:hint="eastAsia"/>
          <w:b/>
          <w:szCs w:val="21"/>
        </w:rPr>
        <w:t>本人经温州银行评估的风险承受能力等级为（客户填写）：</w:t>
      </w:r>
    </w:p>
    <w:p>
      <w:pPr>
        <w:adjustRightInd w:val="0"/>
        <w:snapToGrid w:val="0"/>
        <w:spacing w:line="32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2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22" w:lineRule="auto"/>
        <w:rPr>
          <w:b/>
          <w:szCs w:val="21"/>
        </w:rPr>
      </w:pPr>
      <w:r>
        <w:rPr>
          <w:rFonts w:hint="eastAsia"/>
          <w:b/>
          <w:szCs w:val="21"/>
          <w:u w:val="single"/>
        </w:rPr>
        <w:t xml:space="preserve">                                                                                 </w:t>
      </w:r>
      <w:r>
        <w:rPr>
          <w:rFonts w:hint="eastAsia"/>
          <w:szCs w:val="21"/>
        </w:rPr>
        <w:t>。</w:t>
      </w:r>
    </w:p>
    <w:p>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2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ascii="黑体" w:eastAsia="黑体"/>
          <w:sz w:val="30"/>
          <w:szCs w:val="30"/>
        </w:rPr>
        <w:br w:type="page"/>
      </w: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w:pict>
          <v:shape id="文本框 1" o:spid="_x0000_s1026" o:spt="202" type="#_x0000_t202" style="position:absolute;left:0pt;margin-left:-4.55pt;margin-top:17.3pt;height:72.15pt;width:30.7pt;z-index:251659264;mso-width-relative:page;mso-height-relative:page;"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">
            <v:path arrowok="t"/>
            <v:fill focussize="0,0"/>
            <v:stroke on="f" joinstyle="miter"/>
            <v:imagedata o:title=""/>
            <o:lock v:ext="edit"/>
            <v:textbox style="layout-flow:vertical-ideographic;">
              <w:txbxContent>
                <w:p>
                  <w:pPr>
                    <w:jc w:val="center"/>
                  </w:pPr>
                  <w:r>
                    <w:rPr>
                      <w:rFonts w:hint="eastAsia"/>
                    </w:rPr>
                    <w:t>收益水平</w:t>
                  </w:r>
                </w:p>
              </w:txbxContent>
            </v:textbox>
          </v:shape>
        </w:pict>
      </w:r>
      <w:r>
        <w:rPr>
          <w:b/>
          <w:sz w:val="18"/>
          <w:szCs w:val="18"/>
        </w:rPr>
        <w:pict>
          <v:group id="组合 11" o:spid="_x0000_s1038"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Gfjrk/WAAAABQEAAA8AAAAAAAAAAQAgAAAAIgAAAGRycy9kb3ducmV2LnhtbFBLAQIU&#10;ABQAAAAIAIdO4kBpESwR9gMAAI8VAAAOAAAAAAAAAAEAIAAAACUBAABkcnMvZTJvRG9jLnhtbFBL&#10;BQYAAAAABgAGAFkBAACNBwAAAAA=&#10;">
            <o:lock v:ext="edit"/>
            <v:rect id="矩形 2" o:spid="_x0000_s1039"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path/>
              <v:fill on="f" focussize="0,0"/>
              <v:stroke on="f"/>
              <v:imagedata o:title=""/>
              <o:lock v:ext="edit" text="t" aspectratio="t"/>
            </v:rect>
            <v:line id="直接连接符 3" o:spid="_x0000_s1040" o:spt="20" style="position:absolute;left:254;top:2561;height:1;width:5454;"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path arrowok="t"/>
              <v:fill focussize="0,0"/>
              <v:stroke endarrow="block"/>
              <v:imagedata o:title=""/>
              <o:lock v:ext="edit"/>
            </v:line>
            <v:line id="直接连接符 4" o:spid="_x0000_s1041" o:spt="20" style="position:absolute;left:614;top:0;flip:y;height:2935;width:1;"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path arrowok="t"/>
              <v:fill focussize="0,0"/>
              <v:stroke endarrow="block"/>
              <v:imagedata o:title=""/>
              <o:lock v:ext="edit"/>
            </v:line>
            <v:rect id="矩形 5" o:spid="_x0000_s1042" o:spt="1" style="position:absolute;left:793;top:1937;height:468;width:803;"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path/>
              <v:fill focussize="0,0"/>
              <v:stroke/>
              <v:imagedata o:title=""/>
              <o:lock v:ext="edit"/>
              <v:textbox>
                <w:txbxContent>
                  <w:p>
                    <w:pPr>
                      <w:ind w:firstLine="89" w:firstLineChars="49"/>
                      <w:rPr>
                        <w:b/>
                        <w:sz w:val="18"/>
                        <w:szCs w:val="18"/>
                      </w:rPr>
                    </w:pPr>
                    <w:r>
                      <w:rPr>
                        <w:rFonts w:hint="eastAsia"/>
                        <w:b/>
                        <w:sz w:val="18"/>
                        <w:szCs w:val="18"/>
                      </w:rPr>
                      <w:t>PR1</w:t>
                    </w:r>
                  </w:p>
                </w:txbxContent>
              </v:textbox>
            </v:rect>
            <v:rect id="矩形 6" o:spid="_x0000_s1043" o:spt="1" style="position:absolute;left:1605;top:1469;height:468;width:808;" fillcolor="#FFFF00" fill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path/>
              <v:fill on="t" focussize="0,0"/>
              <v:stroke/>
              <v:imagedata o:title=""/>
              <o:lock v:ext="edit"/>
              <v:textbox>
                <w:txbxContent>
                  <w:p>
                    <w:pPr>
                      <w:ind w:firstLine="89" w:firstLineChars="49"/>
                      <w:rPr>
                        <w:b/>
                        <w:sz w:val="18"/>
                        <w:szCs w:val="18"/>
                      </w:rPr>
                    </w:pPr>
                    <w:r>
                      <w:rPr>
                        <w:rFonts w:hint="eastAsia"/>
                        <w:b/>
                        <w:sz w:val="18"/>
                        <w:szCs w:val="18"/>
                      </w:rPr>
                      <w:t>PR2</w:t>
                    </w:r>
                  </w:p>
                </w:txbxContent>
              </v:textbox>
            </v:rect>
            <v:rect id="矩形 7" o:spid="_x0000_s1044" o:spt="1" style="position:absolute;left:2415;top:1001;height:468;width:815;"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path/>
              <v:fill focussize="0,0"/>
              <v:stroke/>
              <v:imagedata o:title=""/>
              <o:lock v:ext="edit"/>
              <v:textbox>
                <w:txbxContent>
                  <w:p>
                    <w:pPr>
                      <w:ind w:firstLine="89" w:firstLineChars="49"/>
                      <w:rPr>
                        <w:b/>
                        <w:sz w:val="18"/>
                        <w:szCs w:val="18"/>
                      </w:rPr>
                    </w:pPr>
                    <w:r>
                      <w:rPr>
                        <w:rFonts w:hint="eastAsia"/>
                        <w:b/>
                        <w:sz w:val="18"/>
                        <w:szCs w:val="18"/>
                      </w:rPr>
                      <w:t>PR3</w:t>
                    </w:r>
                  </w:p>
                </w:txbxContent>
              </v:textbox>
            </v:rect>
            <v:rect id="矩形 8" o:spid="_x0000_s1045" o:spt="1" style="position:absolute;left:3225;top:533;height:468;width:823;"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path/>
              <v:fill focussize="0,0"/>
              <v:stroke/>
              <v:imagedata o:title=""/>
              <o:lock v:ext="edit"/>
              <v:textbox>
                <w:txbxContent>
                  <w:p>
                    <w:pPr>
                      <w:ind w:firstLine="89" w:firstLineChars="49"/>
                      <w:rPr>
                        <w:b/>
                        <w:sz w:val="18"/>
                        <w:szCs w:val="18"/>
                      </w:rPr>
                    </w:pPr>
                    <w:r>
                      <w:rPr>
                        <w:rFonts w:hint="eastAsia"/>
                        <w:b/>
                        <w:sz w:val="18"/>
                        <w:szCs w:val="18"/>
                      </w:rPr>
                      <w:t>PR4</w:t>
                    </w:r>
                  </w:p>
                </w:txbxContent>
              </v:textbox>
            </v:rect>
            <v:rect id="矩形 9" o:spid="_x0000_s1046" o:spt="1" style="position:absolute;left:4048;top:65;height:468;width:841;"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path/>
              <v:fill focussize="0,0"/>
              <v:stroke/>
              <v:imagedata o:title=""/>
              <o:lock v:ext="edit"/>
              <v:textbox>
                <w:txbxContent>
                  <w:p>
                    <w:pPr>
                      <w:ind w:firstLine="89" w:firstLineChars="49"/>
                      <w:rPr>
                        <w:b/>
                        <w:sz w:val="18"/>
                        <w:szCs w:val="18"/>
                      </w:rPr>
                    </w:pPr>
                    <w:r>
                      <w:rPr>
                        <w:rFonts w:hint="eastAsia"/>
                        <w:b/>
                        <w:sz w:val="18"/>
                        <w:szCs w:val="18"/>
                      </w:rPr>
                      <w:t>PR5</w:t>
                    </w:r>
                  </w:p>
                </w:txbxContent>
              </v:textbox>
            </v:rect>
            <v:rect id="矩形 10" o:spid="_x0000_s1047" o:spt="1" style="position:absolute;left:3630;top:2600;height:386;width:2558;"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path/>
              <v:fill focussize="0,0"/>
              <v:stroke on="f"/>
              <v:imagedata o:title=""/>
              <o:lock v:ext="edit"/>
              <v:textbox>
                <w:txbxContent>
                  <w:p>
                    <w:pPr>
                      <w:jc w:val="center"/>
                      <w:rPr>
                        <w:sz w:val="18"/>
                        <w:szCs w:val="18"/>
                      </w:rPr>
                    </w:pPr>
                    <w:r>
                      <w:rPr>
                        <w:rFonts w:hint="eastAsia"/>
                        <w:sz w:val="18"/>
                        <w:szCs w:val="18"/>
                      </w:rPr>
                      <w:t>风险程度</w:t>
                    </w:r>
                  </w:p>
                </w:txbxContent>
              </v:textbox>
            </v:rect>
            <w10:wrap type="none"/>
            <w10:anchorlock/>
          </v:group>
        </w:pic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千元的整数倍。单户累计最大购买金额</w:t>
            </w:r>
            <w:r>
              <w:rPr>
                <w:rFonts w:hint="eastAsia" w:ascii="宋体" w:hAnsi="宋体"/>
                <w:sz w:val="18"/>
                <w:lang w:val="en-US" w:eastAsia="zh-CN"/>
              </w:rPr>
              <w:t>1</w:t>
            </w:r>
            <w:r>
              <w:rPr>
                <w:rFonts w:hint="eastAsia" w:ascii="宋体" w:hAnsi="宋体"/>
                <w:sz w:val="18"/>
              </w:rPr>
              <w:t>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3.5%（年化）</w:t>
            </w:r>
          </w:p>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0.5%（年化）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644"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ascii="宋体" w:hAnsi="宋体"/>
                <w:kern w:val="0"/>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b/>
                <w:sz w:val="18"/>
                <w:szCs w:val="18"/>
              </w:rPr>
            </w:pPr>
            <w:r>
              <w:rPr>
                <w:rFonts w:hint="eastAsia" w:cs="Times New Roman"/>
                <w:b/>
                <w:sz w:val="18"/>
                <w:szCs w:val="18"/>
              </w:rPr>
              <w:t>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b/>
                <w:sz w:val="18"/>
                <w:szCs w:val="18"/>
              </w:rPr>
            </w:pPr>
            <w:r>
              <w:rPr>
                <w:rFonts w:hint="eastAsia" w:cs="Times New Roman"/>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股票、股票型基金、证券投资基金等</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日结束后2日内，披露本理财产品在开放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 xml:space="preserve">1、债券的估值方法 </w:t>
      </w:r>
    </w:p>
    <w:p>
      <w:pPr>
        <w:adjustRightInd w:val="0"/>
        <w:snapToGrid w:val="0"/>
        <w:spacing w:line="286" w:lineRule="auto"/>
        <w:rPr>
          <w:sz w:val="18"/>
          <w:szCs w:val="18"/>
        </w:rPr>
      </w:pPr>
      <w:r>
        <w:rPr>
          <w:rFonts w:hint="eastAsia"/>
          <w:sz w:val="18"/>
          <w:szCs w:val="18"/>
        </w:rPr>
        <w:t>（1）以持有到期为目的持有的债券，在符合监管规定的情况下按摊余成本法估值；</w:t>
      </w:r>
    </w:p>
    <w:p>
      <w:pPr>
        <w:adjustRightInd w:val="0"/>
        <w:snapToGrid w:val="0"/>
        <w:spacing w:line="286" w:lineRule="auto"/>
        <w:rPr>
          <w:sz w:val="18"/>
          <w:szCs w:val="18"/>
        </w:rPr>
      </w:pPr>
      <w:r>
        <w:rPr>
          <w:rFonts w:hint="eastAsia"/>
          <w:sz w:val="18"/>
          <w:szCs w:val="18"/>
        </w:rPr>
        <w:t>（2）以交易为目的持有的债券按市价法估值。</w:t>
      </w:r>
    </w:p>
    <w:p>
      <w:pPr>
        <w:adjustRightInd w:val="0"/>
        <w:snapToGrid w:val="0"/>
        <w:spacing w:line="286" w:lineRule="auto"/>
        <w:rPr>
          <w:sz w:val="18"/>
          <w:szCs w:val="18"/>
        </w:rPr>
      </w:pPr>
      <w:r>
        <w:rPr>
          <w:rFonts w:hint="eastAsia"/>
          <w:sz w:val="18"/>
          <w:szCs w:val="18"/>
        </w:rPr>
        <w:t xml:space="preserve">2、货币市场金融工具的估值方法 </w:t>
      </w:r>
    </w:p>
    <w:p>
      <w:pPr>
        <w:adjustRightInd w:val="0"/>
        <w:snapToGrid w:val="0"/>
        <w:spacing w:line="286" w:lineRule="auto"/>
        <w:rPr>
          <w:sz w:val="18"/>
          <w:szCs w:val="18"/>
        </w:rPr>
      </w:pPr>
      <w:r>
        <w:rPr>
          <w:rFonts w:hint="eastAsia"/>
          <w:sz w:val="18"/>
          <w:szCs w:val="18"/>
        </w:rPr>
        <w:t>（1）银行存款类资产以本金列示、逐日计提利息；</w:t>
      </w:r>
    </w:p>
    <w:p>
      <w:pPr>
        <w:adjustRightInd w:val="0"/>
        <w:snapToGrid w:val="0"/>
        <w:spacing w:line="286" w:lineRule="auto"/>
        <w:rPr>
          <w:sz w:val="18"/>
          <w:szCs w:val="18"/>
        </w:rPr>
      </w:pPr>
      <w:r>
        <w:rPr>
          <w:rFonts w:hint="eastAsia"/>
          <w:sz w:val="18"/>
          <w:szCs w:val="18"/>
        </w:rPr>
        <w:t>（2）货币基金以当日基金净值估值，以前一交易日的万份收益计提基金收益；</w:t>
      </w:r>
    </w:p>
    <w:p>
      <w:pPr>
        <w:adjustRightInd w:val="0"/>
        <w:snapToGrid w:val="0"/>
        <w:spacing w:line="286" w:lineRule="auto"/>
        <w:rPr>
          <w:sz w:val="18"/>
          <w:szCs w:val="18"/>
        </w:rPr>
      </w:pPr>
      <w:r>
        <w:rPr>
          <w:rFonts w:hint="eastAsia"/>
          <w:sz w:val="18"/>
          <w:szCs w:val="18"/>
        </w:rPr>
        <w:t xml:space="preserve">3、其他资产的估值方法 </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 xml:space="preserve">4、其他 </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份额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）投资者可于开放期内向温州银行提出赎回申请，温州银行按照先申请、先赎回原则确认赎回申请，如该赎回日内净赎回份额合计超过理财产品总份额的1</w:t>
      </w:r>
      <w:r>
        <w:rPr>
          <w:sz w:val="18"/>
          <w:szCs w:val="18"/>
        </w:rPr>
        <w:t>0%，则发生</w:t>
      </w:r>
      <w:r>
        <w:rPr>
          <w:rFonts w:hint="eastAsia"/>
          <w:sz w:val="18"/>
          <w:szCs w:val="18"/>
        </w:rPr>
        <w:t>巨额赎回事件，温州银行有权拒绝接受超过1</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（2）如遇国家金融政策出现重大调整并影响到本产品的正常运行时，温州银行有权终止本产品。</w:t>
      </w:r>
    </w:p>
    <w:p>
      <w:pPr>
        <w:adjustRightInd w:val="0"/>
        <w:snapToGrid w:val="0"/>
        <w:spacing w:line="286" w:lineRule="auto"/>
        <w:rPr>
          <w:color w:val="000000"/>
          <w:sz w:val="18"/>
        </w:rPr>
      </w:pPr>
      <w:r>
        <w:rPr>
          <w:rFonts w:hint="eastAsia"/>
          <w:color w:val="000000"/>
          <w:sz w:val="18"/>
        </w:rPr>
        <w:t>（3）因本理财产品投向的金融资产所涉及的相关主体信用恶化，市场利率大幅下滑，温州银行合理判断将影响本理财产品正常运作的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理财管理人对委托资产收取的固定管理费，理财计划财产的年固定管理费率为0.5%，计算方法如下：</w:t>
      </w:r>
    </w:p>
    <w:p>
      <w:pPr>
        <w:adjustRightInd w:val="0"/>
        <w:snapToGrid w:val="0"/>
        <w:spacing w:line="286" w:lineRule="auto"/>
        <w:rPr>
          <w:sz w:val="18"/>
          <w:szCs w:val="18"/>
        </w:rPr>
      </w:pPr>
      <w:r>
        <w:rPr>
          <w:rFonts w:hint="eastAsia"/>
          <w:sz w:val="18"/>
          <w:szCs w:val="18"/>
        </w:rPr>
        <w:t>H＝E×0.5%÷365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b/>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20%，则发生巨额赎回事件，温州银行有权拒绝接受超过20%以上部分的赎回申请。由此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10、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6、温州银行将在理财期内在温州银行网站（www.wzbank.cn）对本产品说明书予以公示。产品存续期间，投资者应当登录温州银行网站（www.wzbank.cn）获取与本理财产品相关的信息。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7、理财产品账单：温州银行将在理财期内在温州银行网站（www.wzbank.cn）或温州银行微银行或其他指定渠道，至少按月为投资者提供理财产品账单信息。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76" w:lineRule="auto"/>
        <w:rPr>
          <w:b/>
          <w:sz w:val="18"/>
          <w:szCs w:val="18"/>
        </w:rPr>
      </w:pPr>
    </w:p>
    <w:p>
      <w:pPr>
        <w:adjustRightInd w:val="0"/>
        <w:snapToGrid w:val="0"/>
        <w:spacing w:line="286" w:lineRule="auto"/>
        <w:rPr>
          <w:b/>
          <w:sz w:val="18"/>
          <w:szCs w:val="18"/>
        </w:rPr>
      </w:pPr>
      <w:r>
        <w:rPr>
          <w:rFonts w:hint="eastAsia"/>
          <w:b/>
          <w:sz w:val="18"/>
          <w:szCs w:val="18"/>
        </w:rPr>
        <w:t>产品购买</w:t>
      </w:r>
    </w:p>
    <w:p>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593E55DD"/>
    <w:rsid w:val="752C4A25"/>
    <w:rsid w:val="7681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uiPriority w:val="99"/>
    <w:rPr>
      <w:sz w:val="24"/>
    </w:rPr>
  </w:style>
  <w:style w:type="paragraph" w:styleId="7">
    <w:name w:val="annotation subject"/>
    <w:basedOn w:val="2"/>
    <w:next w:val="2"/>
    <w:link w:val="18"/>
    <w:semiHidden/>
    <w:unhideWhenUsed/>
    <w:uiPriority w:val="99"/>
    <w:rPr>
      <w:b/>
      <w:bCs/>
    </w:rPr>
  </w:style>
  <w:style w:type="character" w:styleId="10">
    <w:name w:val="annotation reference"/>
    <w:semiHidden/>
    <w:unhideWhenUsed/>
    <w:uiPriority w:val="99"/>
    <w:rPr>
      <w:sz w:val="21"/>
      <w:szCs w:val="21"/>
    </w:rPr>
  </w:style>
  <w:style w:type="paragraph" w:customStyle="1" w:styleId="11">
    <w:name w:val="msonormalcxspmiddle"/>
    <w:basedOn w:val="1"/>
    <w:uiPriority w:val="0"/>
    <w:pPr>
      <w:widowControl/>
      <w:spacing w:beforeAutospacing="1"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4">
    <w:name w:val="页眉 Char"/>
    <w:link w:val="5"/>
    <w:semiHidden/>
    <w:uiPriority w:val="99"/>
    <w:rPr>
      <w:sz w:val="18"/>
      <w:szCs w:val="18"/>
    </w:rPr>
  </w:style>
  <w:style w:type="character" w:customStyle="1" w:styleId="15">
    <w:name w:val="页脚 Char"/>
    <w:link w:val="4"/>
    <w:uiPriority w:val="99"/>
    <w:rPr>
      <w:sz w:val="18"/>
      <w:szCs w:val="18"/>
    </w:rPr>
  </w:style>
  <w:style w:type="character" w:customStyle="1" w:styleId="16">
    <w:name w:val="批注框文本 Char"/>
    <w:link w:val="3"/>
    <w:semiHidden/>
    <w:qFormat/>
    <w:uiPriority w:val="99"/>
    <w:rPr>
      <w:rFonts w:ascii="Times New Roman" w:hAnsi="Times New Roman"/>
      <w:kern w:val="2"/>
      <w:sz w:val="18"/>
      <w:szCs w:val="18"/>
    </w:rPr>
  </w:style>
  <w:style w:type="character" w:customStyle="1" w:styleId="17">
    <w:name w:val="批注文字 Char"/>
    <w:link w:val="2"/>
    <w:semiHidden/>
    <w:uiPriority w:val="99"/>
    <w:rPr>
      <w:rFonts w:ascii="Times New Roman" w:hAnsi="Times New Roman"/>
      <w:kern w:val="2"/>
      <w:sz w:val="21"/>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1948</Words>
  <Characters>11106</Characters>
  <Lines>92</Lines>
  <Paragraphs>26</Paragraphs>
  <TotalTime>7</TotalTime>
  <ScaleCrop>false</ScaleCrop>
  <LinksUpToDate>false</LinksUpToDate>
  <CharactersWithSpaces>13028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2022-03-11T09:10:00Z</dcterms:created>
  <dc:creator>陈浩01</dc:creator>
  <cp:lastModifiedBy>应心茹</cp:lastModifiedBy>
  <cp:lastPrinted>2020-08-27T02:08:00Z</cp:lastPrinted>
  <dcterms:modified xsi:type="dcterms:W3CDTF">2022-04-26T09:48:24Z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