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9" w:lineRule="auto"/>
        <w:ind w:firstLine="420"/>
        <w:rPr>
          <w:rFonts w:ascii="宋体" w:hAnsi="宋体"/>
          <w:szCs w:val="21"/>
        </w:rPr>
      </w:pPr>
      <w:r>
        <w:rPr>
          <w:rFonts w:hint="eastAsia" w:ascii="宋体" w:hAnsi="宋体"/>
          <w:szCs w:val="21"/>
        </w:rPr>
        <w:t>一、</w:t>
      </w:r>
      <w:r>
        <w:rPr>
          <w:rFonts w:hint="eastAsia"/>
          <w:szCs w:val="21"/>
        </w:rPr>
        <w:t>您将</w:t>
      </w:r>
      <w:r>
        <w:rPr>
          <w:rFonts w:hint="eastAsia" w:ascii="宋体" w:hAnsi="宋体"/>
          <w:szCs w:val="21"/>
        </w:rPr>
        <w:t>购买</w:t>
      </w:r>
      <w:r>
        <w:rPr>
          <w:rFonts w:hint="eastAsia"/>
          <w:szCs w:val="21"/>
        </w:rPr>
        <w:t>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，在产品存续期内不定期（法定工作日）开放资金认购、申购及赎回。根据温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如影响您风险承受能力的因素发生变化，请在购买前及时重新完成风险承受能力评估。</w:t>
      </w:r>
    </w:p>
    <w:p>
      <w:pPr>
        <w:adjustRightInd w:val="0"/>
        <w:snapToGrid w:val="0"/>
        <w:spacing w:line="319"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9"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9"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9" w:lineRule="auto"/>
        <w:ind w:firstLine="420"/>
        <w:rPr>
          <w:rFonts w:ascii="宋体" w:hAnsi="宋体"/>
          <w:szCs w:val="21"/>
        </w:rPr>
      </w:pPr>
      <w:r>
        <w:rPr>
          <w:rFonts w:hint="eastAsia" w:ascii="宋体" w:hAnsi="宋体"/>
          <w:szCs w:val="21"/>
        </w:rPr>
        <w:t>您对本风险揭示书、理财合约和产品说明书的签署，将表明您已了解购买本期理财产品可能存在的风险，且表明您已认真阅读并理解所有的合约文件，并愿意受上述法律文件的约束并依法承担相应的理财投资风险，您购买本期理财产品，并由温州银行将理财资金运用于理财合约和产品说明书约定投资标的，是您的真实意思表示。</w:t>
      </w:r>
    </w:p>
    <w:p>
      <w:pPr>
        <w:adjustRightInd w:val="0"/>
        <w:snapToGrid w:val="0"/>
        <w:spacing w:line="319"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2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22" w:lineRule="auto"/>
        <w:rPr>
          <w:b/>
          <w:szCs w:val="21"/>
        </w:rPr>
      </w:pPr>
      <w:r>
        <w:rPr>
          <w:rFonts w:hint="eastAsia"/>
          <w:b/>
          <w:szCs w:val="21"/>
        </w:rPr>
        <w:t>本人经温州银行评估的风险承受能力等级为（客户填写）：</w:t>
      </w:r>
    </w:p>
    <w:p>
      <w:pPr>
        <w:adjustRightInd w:val="0"/>
        <w:snapToGrid w:val="0"/>
        <w:spacing w:line="32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2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22" w:lineRule="auto"/>
        <w:rPr>
          <w:b/>
          <w:szCs w:val="21"/>
        </w:rPr>
      </w:pPr>
      <w:r>
        <w:rPr>
          <w:rFonts w:hint="eastAsia"/>
          <w:b/>
          <w:szCs w:val="21"/>
          <w:u w:val="single"/>
        </w:rPr>
        <w:t xml:space="preserve">                                                                                 </w:t>
      </w:r>
      <w:r>
        <w:rPr>
          <w:rFonts w:hint="eastAsia"/>
          <w:szCs w:val="21"/>
        </w:rPr>
        <w:t>。</w:t>
      </w:r>
    </w:p>
    <w:p>
      <w:pPr>
        <w:adjustRightInd w:val="0"/>
        <w:snapToGrid w:val="0"/>
        <w:spacing w:line="32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2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ascii="黑体" w:eastAsia="黑体"/>
          <w:sz w:val="30"/>
          <w:szCs w:val="30"/>
        </w:rPr>
        <w:br w:type="page"/>
      </w: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在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购买）本产品前，应当仔细阅读本说明书的全部内容，同时向温州银行了解本产品的其他相关信息，确保自身完全了解该项投资的性质、投资所涉及的风险以及自身的风险承受能力，在慎重考虑后独立做出购买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投资者在购买本产品后，应随时关注本产品的信息披露情况，及时获取相关信息。如对本产品有任何疑问、异议或意见，请联系温州银行客户经理或反馈至银行营业网点，也可致电银行客户服务热线（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0" b="0"/>
                <wp:wrapNone/>
                <wp:docPr id="1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pPr>
                              <w:jc w:val="center"/>
                            </w:pPr>
                            <w:r>
                              <w:rPr>
                                <w:rFonts w:hint="eastAsia"/>
                              </w:rPr>
                              <w:t>收益水平</w:t>
                            </w:r>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Eno3szZ&#10;AAAACAEAAA8AAAAAAAAAAQAgAAAAIgAAAGRycy9kb3ducmV2LnhtbFBLAQIUABQAAAAIAIdO4kDX&#10;2aXprQEAADcDAAAOAAAAAAAAAAEAIAAAACgBAABkcnMvZTJvRG9jLnhtbFBLBQYAAAAABgAGAFkB&#10;AABHBQAAAAA=&#10;">
                <v:fill on="t" focussize="0,0"/>
                <v:stroke on="f"/>
                <v:imagedata o:title=""/>
                <o:lock v:ext="edit" aspectratio="f"/>
                <v:textbox style="layout-flow:vertical-ideographic;">
                  <w:txbxContent>
                    <w:p>
                      <w:pPr>
                        <w:jc w:val="center"/>
                      </w:pPr>
                      <w:r>
                        <w:rPr>
                          <w:rFonts w:hint="eastAsia"/>
                        </w:rPr>
                        <w:t>收益水平</w:t>
                      </w:r>
                    </w:p>
                  </w:txbxContent>
                </v:textbox>
              </v:shape>
            </w:pict>
          </mc:Fallback>
        </mc:AlternateContent>
      </w:r>
      <w:r>
        <w:rPr>
          <w:b/>
          <w:sz w:val="18"/>
          <w:szCs w:val="18"/>
        </w:rPr>
        <mc:AlternateContent>
          <mc:Choice Requires="wpg">
            <w:drawing>
              <wp:inline distT="0" distB="0" distL="0" distR="0">
                <wp:extent cx="3929380" cy="1896110"/>
                <wp:effectExtent l="0" t="22225" r="0" b="0"/>
                <wp:docPr id="1" name="组合 11"/>
                <wp:cNvGraphicFramePr/>
                <a:graphic xmlns:a="http://schemas.openxmlformats.org/drawingml/2006/main">
                  <a:graphicData uri="http://schemas.microsoft.com/office/word/2010/wordprocessingGroup">
                    <wpg:wgp>
                      <wpg:cNvGrpSpPr/>
                      <wpg:grpSpPr>
                        <a:xfrm>
                          <a:off x="0" y="0"/>
                          <a:ext cx="3929380" cy="1896110"/>
                          <a:chOff x="0" y="0"/>
                          <a:chExt cx="6188" cy="2986"/>
                        </a:xfrm>
                      </wpg:grpSpPr>
                      <wps:wsp>
                        <wps:cNvPr id="2" name="矩形 2"/>
                        <wps:cNvSpPr>
                          <a:spLocks noChangeAspect="1" noChangeArrowheads="1" noTextEdit="1"/>
                        </wps:cNvSpPr>
                        <wps:spPr bwMode="auto">
                          <a:xfrm>
                            <a:off x="0" y="0"/>
                            <a:ext cx="6188" cy="2986"/>
                          </a:xfrm>
                          <a:prstGeom prst="rect">
                            <a:avLst/>
                          </a:prstGeom>
                          <a:noFill/>
                          <a:ln>
                            <a:noFill/>
                          </a:ln>
                        </wps:spPr>
                        <wps:bodyPr rot="0" vert="horz" wrap="square" lIns="91440" tIns="45720" rIns="91440" bIns="45720" anchor="t" anchorCtr="0" upright="1">
                          <a:noAutofit/>
                        </wps:bodyPr>
                      </wps:wsp>
                      <wps:wsp>
                        <wps:cNvPr id="3" name="直接连接符 3"/>
                        <wps:cNvCnPr>
                          <a:cxnSpLocks noChangeShapeType="1"/>
                        </wps:cNvCnPr>
                        <wps:spPr bwMode="auto">
                          <a:xfrm>
                            <a:off x="254" y="2561"/>
                            <a:ext cx="5454" cy="1"/>
                          </a:xfrm>
                          <a:prstGeom prst="line">
                            <a:avLst/>
                          </a:prstGeom>
                          <a:noFill/>
                          <a:ln w="9525">
                            <a:solidFill>
                              <a:srgbClr val="000000"/>
                            </a:solidFill>
                            <a:round/>
                            <a:tailEnd type="triangle" w="med" len="med"/>
                          </a:ln>
                        </wps:spPr>
                        <wps:bodyPr/>
                      </wps:wsp>
                      <wps:wsp>
                        <wps:cNvPr id="4" name="直接连接符 4"/>
                        <wps:cNvCnPr>
                          <a:cxnSpLocks noChangeShapeType="1"/>
                        </wps:cNvCnPr>
                        <wps:spPr bwMode="auto">
                          <a:xfrm flipV="1">
                            <a:off x="614" y="0"/>
                            <a:ext cx="1" cy="2935"/>
                          </a:xfrm>
                          <a:prstGeom prst="line">
                            <a:avLst/>
                          </a:prstGeom>
                          <a:noFill/>
                          <a:ln w="9525">
                            <a:solidFill>
                              <a:srgbClr val="000000"/>
                            </a:solidFill>
                            <a:round/>
                            <a:tailEnd type="triangle" w="med" len="med"/>
                          </a:ln>
                        </wps:spPr>
                        <wps:bodyPr/>
                      </wps:wsp>
                      <wps:wsp>
                        <wps:cNvPr id="5" name="矩形 5"/>
                        <wps:cNvSpPr>
                          <a:spLocks noChangeArrowheads="1"/>
                        </wps:cNvSpPr>
                        <wps:spPr bwMode="auto">
                          <a:xfrm>
                            <a:off x="793" y="1937"/>
                            <a:ext cx="803"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PR1</w:t>
                              </w:r>
                            </w:p>
                          </w:txbxContent>
                        </wps:txbx>
                        <wps:bodyPr rot="0" vert="horz" wrap="square" lIns="91440" tIns="45720" rIns="91440" bIns="45720" anchor="t" anchorCtr="0" upright="1">
                          <a:noAutofit/>
                        </wps:bodyPr>
                      </wps:wsp>
                      <wps:wsp>
                        <wps:cNvPr id="6" name="矩形 6"/>
                        <wps:cNvSpPr>
                          <a:spLocks noChangeArrowheads="1"/>
                        </wps:cNvSpPr>
                        <wps:spPr bwMode="auto">
                          <a:xfrm>
                            <a:off x="1605" y="1469"/>
                            <a:ext cx="808" cy="468"/>
                          </a:xfrm>
                          <a:prstGeom prst="rect">
                            <a:avLst/>
                          </a:prstGeom>
                          <a:solidFill>
                            <a:srgbClr val="FFFF00"/>
                          </a:solidFill>
                          <a:ln w="9525">
                            <a:solidFill>
                              <a:srgbClr val="000000"/>
                            </a:solidFill>
                            <a:miter lim="800000"/>
                          </a:ln>
                        </wps:spPr>
                        <wps:txbx>
                          <w:txbxContent>
                            <w:p>
                              <w:pPr>
                                <w:ind w:firstLine="89" w:firstLineChars="49"/>
                                <w:rPr>
                                  <w:b/>
                                  <w:sz w:val="18"/>
                                  <w:szCs w:val="18"/>
                                </w:rPr>
                              </w:pPr>
                              <w:r>
                                <w:rPr>
                                  <w:rFonts w:hint="eastAsia"/>
                                  <w:b/>
                                  <w:sz w:val="18"/>
                                  <w:szCs w:val="18"/>
                                </w:rPr>
                                <w:t>PR2</w:t>
                              </w:r>
                            </w:p>
                          </w:txbxContent>
                        </wps:txbx>
                        <wps:bodyPr rot="0" vert="horz" wrap="square" lIns="91440" tIns="45720" rIns="91440" bIns="45720" anchor="t" anchorCtr="0" upright="1">
                          <a:noAutofit/>
                        </wps:bodyPr>
                      </wps:wsp>
                      <wps:wsp>
                        <wps:cNvPr id="7" name="矩形 7"/>
                        <wps:cNvSpPr>
                          <a:spLocks noChangeArrowheads="1"/>
                        </wps:cNvSpPr>
                        <wps:spPr bwMode="auto">
                          <a:xfrm>
                            <a:off x="2415" y="1001"/>
                            <a:ext cx="815"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PR3</w:t>
                              </w:r>
                            </w:p>
                          </w:txbxContent>
                        </wps:txbx>
                        <wps:bodyPr rot="0" vert="horz" wrap="square" lIns="91440" tIns="45720" rIns="91440" bIns="45720" anchor="t" anchorCtr="0" upright="1">
                          <a:noAutofit/>
                        </wps:bodyPr>
                      </wps:wsp>
                      <wps:wsp>
                        <wps:cNvPr id="8" name="矩形 8"/>
                        <wps:cNvSpPr>
                          <a:spLocks noChangeArrowheads="1"/>
                        </wps:cNvSpPr>
                        <wps:spPr bwMode="auto">
                          <a:xfrm>
                            <a:off x="3225" y="533"/>
                            <a:ext cx="823"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PR4</w:t>
                              </w:r>
                            </w:p>
                          </w:txbxContent>
                        </wps:txbx>
                        <wps:bodyPr rot="0" vert="horz" wrap="square" lIns="91440" tIns="45720" rIns="91440" bIns="45720" anchor="t" anchorCtr="0" upright="1">
                          <a:noAutofit/>
                        </wps:bodyPr>
                      </wps:wsp>
                      <wps:wsp>
                        <wps:cNvPr id="9" name="矩形 9"/>
                        <wps:cNvSpPr>
                          <a:spLocks noChangeArrowheads="1"/>
                        </wps:cNvSpPr>
                        <wps:spPr bwMode="auto">
                          <a:xfrm>
                            <a:off x="4048" y="65"/>
                            <a:ext cx="841" cy="468"/>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PR5</w:t>
                              </w:r>
                            </w:p>
                          </w:txbxContent>
                        </wps:txbx>
                        <wps:bodyPr rot="0" vert="horz" wrap="square" lIns="91440" tIns="45720" rIns="91440" bIns="45720" anchor="t" anchorCtr="0" upright="1">
                          <a:noAutofit/>
                        </wps:bodyPr>
                      </wps:wsp>
                      <wps:wsp>
                        <wps:cNvPr id="10" name="矩形 10"/>
                        <wps:cNvSpPr>
                          <a:spLocks noChangeArrowheads="1"/>
                        </wps:cNvSpPr>
                        <wps:spPr bwMode="auto">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rot="0" vert="horz" wrap="square" lIns="91440" tIns="45720" rIns="91440" bIns="45720" anchor="t" anchorCtr="0" upright="1">
                          <a:noAutofit/>
                        </wps:bodyPr>
                      </wps:wsp>
                    </wpg:wgp>
                  </a:graphicData>
                </a:graphic>
              </wp:inline>
            </w:drawing>
          </mc:Choice>
          <mc:Fallback>
            <w:pict>
              <v:group id="组合 11"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">
                <o:lock v:ext="edi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Autospacing="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sz w:val="18"/>
                <w:szCs w:val="18"/>
              </w:rPr>
              <w:t>发售规模不超过50亿元（温州银行有权根据产品募集和市场情况调整计划发行量。若认购期内实际募集金额超过计划发行量，则以实际募集金额为准。）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产品成立日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2020年9月28日至2020年10月28日，封闭期内不受理赎回申请。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千元的整数倍。单户累计最大购买金额1000万元。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申购份额＝申购金额÷申购确认日前一自然日理财计划份额净值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bookmarkStart w:id="0" w:name="_GoBack"/>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3.</w:t>
            </w:r>
            <w:r>
              <w:rPr>
                <w:rFonts w:hint="eastAsia" w:cs="Times New Roman"/>
                <w:sz w:val="18"/>
                <w:szCs w:val="18"/>
                <w:lang w:val="en-US" w:eastAsia="zh-CN"/>
              </w:rPr>
              <w:t>1</w:t>
            </w:r>
            <w:r>
              <w:rPr>
                <w:rFonts w:hint="eastAsia" w:cs="Times New Roman"/>
                <w:sz w:val="18"/>
                <w:szCs w:val="18"/>
              </w:rPr>
              <w:t>%（年化）</w:t>
            </w:r>
          </w:p>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644"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644"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ascii="宋体" w:hAnsi="宋体"/>
                <w:kern w:val="0"/>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sz w:val="18"/>
                <w:szCs w:val="18"/>
              </w:rPr>
            </w:pPr>
            <w:r>
              <w:rPr>
                <w:rFonts w:hint="eastAsia"/>
                <w:sz w:val="18"/>
                <w:szCs w:val="18"/>
              </w:rPr>
              <w:t>温州银行将在温州银行官方网站定期披露产品净值、投资收益情况及其他重要信息。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b/>
                <w:sz w:val="18"/>
                <w:szCs w:val="18"/>
              </w:rPr>
            </w:pPr>
            <w:r>
              <w:rPr>
                <w:rFonts w:hint="eastAsia" w:cs="Times New Roman"/>
                <w:b/>
                <w:sz w:val="18"/>
                <w:szCs w:val="18"/>
              </w:rPr>
              <w:t>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b/>
                <w:sz w:val="18"/>
                <w:szCs w:val="18"/>
              </w:rPr>
            </w:pPr>
            <w:r>
              <w:rPr>
                <w:rFonts w:hint="eastAsia" w:cs="Times New Roman"/>
                <w:b/>
                <w:sz w:val="18"/>
                <w:szCs w:val="18"/>
              </w:rPr>
              <w:t>客户无终止权。如遇国家金融政策出现重大调整并影响到本产品的正常运行或温州银行有合理理由认为将影响本理财计划正常运作的其他情形时，温州银行有权但无义务终止本产品。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货币市场工具、债券等债权类资产及权益类资产，具体包括但不限于银行间市场和证券交易所市场债权性资产、固定收益类非标准化债权资产、公募基金、资产管理计划、信托计划、各类受（收）益权、资产支持证券、票据资产、债券型基金、股票、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股票、股票型基金、证券投资基金等</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日结束后2日内，披露本理财产品在开放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 xml:space="preserve">1、债券的估值方法 </w:t>
      </w:r>
    </w:p>
    <w:p>
      <w:pPr>
        <w:adjustRightInd w:val="0"/>
        <w:snapToGrid w:val="0"/>
        <w:spacing w:line="286" w:lineRule="auto"/>
        <w:rPr>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sz w:val="18"/>
          <w:szCs w:val="18"/>
        </w:rPr>
      </w:pPr>
      <w:r>
        <w:rPr>
          <w:rFonts w:hint="eastAsia"/>
          <w:sz w:val="18"/>
          <w:szCs w:val="18"/>
        </w:rPr>
        <w:t>（2）以交易为目的持有的债券按市价法估值。</w:t>
      </w:r>
    </w:p>
    <w:p>
      <w:pPr>
        <w:adjustRightInd w:val="0"/>
        <w:snapToGrid w:val="0"/>
        <w:spacing w:line="286" w:lineRule="auto"/>
        <w:rPr>
          <w:sz w:val="18"/>
          <w:szCs w:val="18"/>
        </w:rPr>
      </w:pPr>
      <w:r>
        <w:rPr>
          <w:rFonts w:hint="eastAsia"/>
          <w:sz w:val="18"/>
          <w:szCs w:val="18"/>
        </w:rPr>
        <w:t xml:space="preserve">2、货币市场金融工具的估值方法 </w:t>
      </w:r>
    </w:p>
    <w:p>
      <w:pPr>
        <w:adjustRightInd w:val="0"/>
        <w:snapToGrid w:val="0"/>
        <w:spacing w:line="286" w:lineRule="auto"/>
        <w:rPr>
          <w:sz w:val="18"/>
          <w:szCs w:val="18"/>
        </w:rPr>
      </w:pPr>
      <w:r>
        <w:rPr>
          <w:rFonts w:hint="eastAsia"/>
          <w:sz w:val="18"/>
          <w:szCs w:val="18"/>
        </w:rPr>
        <w:t>（1）银行存款类资产以本金列示、逐日计提利息；</w:t>
      </w:r>
    </w:p>
    <w:p>
      <w:pPr>
        <w:adjustRightInd w:val="0"/>
        <w:snapToGrid w:val="0"/>
        <w:spacing w:line="286" w:lineRule="auto"/>
        <w:rPr>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sz w:val="18"/>
          <w:szCs w:val="18"/>
        </w:rPr>
      </w:pPr>
      <w:r>
        <w:rPr>
          <w:rFonts w:hint="eastAsia"/>
          <w:sz w:val="18"/>
          <w:szCs w:val="18"/>
        </w:rPr>
        <w:t xml:space="preserve">3、其他资产的估值方法 </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 xml:space="preserve">4、其他 </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份额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sz w:val="18"/>
          <w:szCs w:val="18"/>
        </w:rPr>
      </w:pPr>
      <w:r>
        <w:rPr>
          <w:rFonts w:hint="eastAsia"/>
          <w:sz w:val="18"/>
          <w:szCs w:val="18"/>
        </w:rPr>
        <w:t>H＝E×0.5%÷365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b/>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本理财计划在存续期内投资者不得提前赎回。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10、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6、温州银行将在理财期内在温州银行网站（www.wzbank.cn）对本产品说明书予以公示。产品存续期间，投资者应当登录温州银行网站（www.wzbank.cn）获取与本理财产品相关的信息。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7、理财产品账单：温州银行将在理财期内在温州银行网站（www.wzbank.cn）或温州银行微银行或其他指定渠道，至少按月为投资者提供理财产品账单信息。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p>
    <w:p>
      <w:pPr>
        <w:adjustRightInd w:val="0"/>
        <w:snapToGrid w:val="0"/>
        <w:spacing w:line="286" w:lineRule="auto"/>
        <w:rPr>
          <w:b/>
          <w:sz w:val="18"/>
          <w:szCs w:val="18"/>
        </w:rPr>
      </w:pPr>
      <w:r>
        <w:rPr>
          <w:rFonts w:hint="eastAsia"/>
          <w:b/>
          <w:sz w:val="18"/>
          <w:szCs w:val="18"/>
        </w:rPr>
        <w:t>产品购买</w:t>
      </w:r>
    </w:p>
    <w:p>
      <w:pPr>
        <w:adjustRightInd w:val="0"/>
        <w:snapToGrid w:val="0"/>
        <w:spacing w:line="286" w:lineRule="auto"/>
        <w:rPr>
          <w:sz w:val="18"/>
          <w:szCs w:val="18"/>
        </w:rPr>
      </w:pPr>
      <w:r>
        <w:rPr>
          <w:sz w:val="18"/>
          <w:szCs w:val="18"/>
        </w:rPr>
        <w:t>1</w:t>
      </w:r>
      <w:r>
        <w:rPr>
          <w:rFonts w:hint="eastAsia"/>
          <w:sz w:val="18"/>
          <w:szCs w:val="18"/>
        </w:rPr>
        <w:t>、认购、申购手续：在产品认购期、开放期内，个人投资者请带本人身份证原件及复印件、温州银行借记卡等到温州银行营业网点办理，或登录温州银行网银专业版、手机银行等电子渠道办理。</w:t>
      </w:r>
    </w:p>
    <w:p>
      <w:pPr>
        <w:adjustRightInd w:val="0"/>
        <w:snapToGrid w:val="0"/>
        <w:spacing w:line="286" w:lineRule="auto"/>
        <w:rPr>
          <w:sz w:val="18"/>
          <w:szCs w:val="18"/>
        </w:rPr>
      </w:pPr>
      <w:r>
        <w:rPr>
          <w:sz w:val="18"/>
          <w:szCs w:val="18"/>
        </w:rPr>
        <w:t>2</w:t>
      </w:r>
      <w:r>
        <w:rPr>
          <w:rFonts w:hint="eastAsia"/>
          <w:sz w:val="18"/>
          <w:szCs w:val="18"/>
        </w:rPr>
        <w:t>、资金划付：理财计划成立日，温州银行将按照投资者签署的理财计划合约中约定的购买金额从投资者资金账户中进行资金扣划，扣划前不做电话确认，无需客户另行授权。请投资者确保您的资金账户状态正常，如因资金账户状态异常而无法在理财开始日实现资金扣划，相应购买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oNotDisplayPageBoundaries w:val="1"/>
  <w:bordersDoNotSurroundHeader w:val="1"/>
  <w:bordersDoNotSurroundFooter w:val="1"/>
  <w:documentProtection w:edit="readOnly" w:enforcement="1" w:cryptProviderType="rsaFull" w:cryptAlgorithmClass="hash" w:cryptAlgorithmType="typeAny" w:cryptAlgorithmSid="4" w:cryptSpinCount="0" w:hash="h9lkZfcBSZNWDLfP2QjZnltrdps=" w:salt="qljGLXOTLjQ7UdW4DUlI2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5431"/>
    <w:rsid w:val="00017E38"/>
    <w:rsid w:val="00020457"/>
    <w:rsid w:val="00021A55"/>
    <w:rsid w:val="0002530D"/>
    <w:rsid w:val="00025D9C"/>
    <w:rsid w:val="00030D80"/>
    <w:rsid w:val="00034AC5"/>
    <w:rsid w:val="00037BF4"/>
    <w:rsid w:val="0004551E"/>
    <w:rsid w:val="00072738"/>
    <w:rsid w:val="000773B8"/>
    <w:rsid w:val="000866FD"/>
    <w:rsid w:val="00097267"/>
    <w:rsid w:val="000A6768"/>
    <w:rsid w:val="000A76AD"/>
    <w:rsid w:val="000C4E56"/>
    <w:rsid w:val="000C5851"/>
    <w:rsid w:val="000C5EC0"/>
    <w:rsid w:val="000E1C51"/>
    <w:rsid w:val="000E4191"/>
    <w:rsid w:val="000E4DFB"/>
    <w:rsid w:val="001138BD"/>
    <w:rsid w:val="00127687"/>
    <w:rsid w:val="001327C2"/>
    <w:rsid w:val="001513E8"/>
    <w:rsid w:val="00172A27"/>
    <w:rsid w:val="00174C1E"/>
    <w:rsid w:val="00175BC0"/>
    <w:rsid w:val="00184A9E"/>
    <w:rsid w:val="00184D86"/>
    <w:rsid w:val="001963B9"/>
    <w:rsid w:val="001A7596"/>
    <w:rsid w:val="001B072E"/>
    <w:rsid w:val="001B3C36"/>
    <w:rsid w:val="001C03A0"/>
    <w:rsid w:val="001C4450"/>
    <w:rsid w:val="001C4E1F"/>
    <w:rsid w:val="001C5082"/>
    <w:rsid w:val="001E4E49"/>
    <w:rsid w:val="00200136"/>
    <w:rsid w:val="00200E4E"/>
    <w:rsid w:val="002227DF"/>
    <w:rsid w:val="00224526"/>
    <w:rsid w:val="0022470B"/>
    <w:rsid w:val="00232248"/>
    <w:rsid w:val="00240905"/>
    <w:rsid w:val="00254268"/>
    <w:rsid w:val="00263685"/>
    <w:rsid w:val="00271508"/>
    <w:rsid w:val="00277F68"/>
    <w:rsid w:val="00280A05"/>
    <w:rsid w:val="00284CF7"/>
    <w:rsid w:val="00292B4F"/>
    <w:rsid w:val="002A574E"/>
    <w:rsid w:val="002B0DB2"/>
    <w:rsid w:val="002B4522"/>
    <w:rsid w:val="002B4C51"/>
    <w:rsid w:val="002C4EC2"/>
    <w:rsid w:val="002C6DDA"/>
    <w:rsid w:val="002D0900"/>
    <w:rsid w:val="002D0F6A"/>
    <w:rsid w:val="002D1B4C"/>
    <w:rsid w:val="002D2FEE"/>
    <w:rsid w:val="002D38E1"/>
    <w:rsid w:val="002E17C7"/>
    <w:rsid w:val="002F586E"/>
    <w:rsid w:val="002F72E1"/>
    <w:rsid w:val="00314F26"/>
    <w:rsid w:val="00316211"/>
    <w:rsid w:val="00331715"/>
    <w:rsid w:val="00337FAA"/>
    <w:rsid w:val="00346B5D"/>
    <w:rsid w:val="00355E03"/>
    <w:rsid w:val="00356C50"/>
    <w:rsid w:val="00365AC9"/>
    <w:rsid w:val="00367F10"/>
    <w:rsid w:val="00371C0E"/>
    <w:rsid w:val="00385A5F"/>
    <w:rsid w:val="00393B79"/>
    <w:rsid w:val="003A474E"/>
    <w:rsid w:val="003A6C6D"/>
    <w:rsid w:val="003C17FA"/>
    <w:rsid w:val="003C40FE"/>
    <w:rsid w:val="003C62A4"/>
    <w:rsid w:val="003C7E63"/>
    <w:rsid w:val="003D082B"/>
    <w:rsid w:val="003D56A0"/>
    <w:rsid w:val="003E17D1"/>
    <w:rsid w:val="003E695A"/>
    <w:rsid w:val="00401B1B"/>
    <w:rsid w:val="0041485A"/>
    <w:rsid w:val="004149A7"/>
    <w:rsid w:val="00417895"/>
    <w:rsid w:val="00417F06"/>
    <w:rsid w:val="00421FF8"/>
    <w:rsid w:val="00426A5F"/>
    <w:rsid w:val="0043061D"/>
    <w:rsid w:val="004317BE"/>
    <w:rsid w:val="00456806"/>
    <w:rsid w:val="004668AB"/>
    <w:rsid w:val="00470F35"/>
    <w:rsid w:val="00492A29"/>
    <w:rsid w:val="004A45A8"/>
    <w:rsid w:val="004A65D5"/>
    <w:rsid w:val="004C1A59"/>
    <w:rsid w:val="004C668B"/>
    <w:rsid w:val="004D1922"/>
    <w:rsid w:val="004D22D2"/>
    <w:rsid w:val="004D78AD"/>
    <w:rsid w:val="004E1171"/>
    <w:rsid w:val="004F5496"/>
    <w:rsid w:val="0050032D"/>
    <w:rsid w:val="0050183B"/>
    <w:rsid w:val="00520212"/>
    <w:rsid w:val="005236A4"/>
    <w:rsid w:val="00526355"/>
    <w:rsid w:val="00540B17"/>
    <w:rsid w:val="00541381"/>
    <w:rsid w:val="00543E6B"/>
    <w:rsid w:val="0054786A"/>
    <w:rsid w:val="00547BDD"/>
    <w:rsid w:val="005540C3"/>
    <w:rsid w:val="00562CD5"/>
    <w:rsid w:val="00565D6D"/>
    <w:rsid w:val="0056627C"/>
    <w:rsid w:val="005732A5"/>
    <w:rsid w:val="00583A42"/>
    <w:rsid w:val="00597BFA"/>
    <w:rsid w:val="005C6273"/>
    <w:rsid w:val="005D00A7"/>
    <w:rsid w:val="005D726E"/>
    <w:rsid w:val="005F0ADF"/>
    <w:rsid w:val="00606B12"/>
    <w:rsid w:val="00611E20"/>
    <w:rsid w:val="006134D2"/>
    <w:rsid w:val="00634230"/>
    <w:rsid w:val="00634612"/>
    <w:rsid w:val="00635890"/>
    <w:rsid w:val="00645D61"/>
    <w:rsid w:val="00653252"/>
    <w:rsid w:val="00653437"/>
    <w:rsid w:val="006565AF"/>
    <w:rsid w:val="00680B55"/>
    <w:rsid w:val="006871D5"/>
    <w:rsid w:val="006940BB"/>
    <w:rsid w:val="006A44DB"/>
    <w:rsid w:val="006A4DCA"/>
    <w:rsid w:val="006B741F"/>
    <w:rsid w:val="006C5F6C"/>
    <w:rsid w:val="006E0989"/>
    <w:rsid w:val="006E0ACB"/>
    <w:rsid w:val="006E1462"/>
    <w:rsid w:val="006E7B4A"/>
    <w:rsid w:val="006F182B"/>
    <w:rsid w:val="006F1A4D"/>
    <w:rsid w:val="006F369E"/>
    <w:rsid w:val="00714125"/>
    <w:rsid w:val="0071552D"/>
    <w:rsid w:val="00716CFC"/>
    <w:rsid w:val="007202C9"/>
    <w:rsid w:val="00721727"/>
    <w:rsid w:val="0072441B"/>
    <w:rsid w:val="00727B1B"/>
    <w:rsid w:val="00740142"/>
    <w:rsid w:val="007418E8"/>
    <w:rsid w:val="007420B8"/>
    <w:rsid w:val="00745A8A"/>
    <w:rsid w:val="0075297D"/>
    <w:rsid w:val="0075376D"/>
    <w:rsid w:val="00754D95"/>
    <w:rsid w:val="00755104"/>
    <w:rsid w:val="00776115"/>
    <w:rsid w:val="007A0DD0"/>
    <w:rsid w:val="007A2668"/>
    <w:rsid w:val="007A725C"/>
    <w:rsid w:val="007B2CA9"/>
    <w:rsid w:val="007B319B"/>
    <w:rsid w:val="007B43C7"/>
    <w:rsid w:val="007C0C6F"/>
    <w:rsid w:val="007C0EF9"/>
    <w:rsid w:val="007C2A45"/>
    <w:rsid w:val="007D130E"/>
    <w:rsid w:val="007E78B8"/>
    <w:rsid w:val="007F11AE"/>
    <w:rsid w:val="007F4F6C"/>
    <w:rsid w:val="0080322B"/>
    <w:rsid w:val="00816CC8"/>
    <w:rsid w:val="00817333"/>
    <w:rsid w:val="008348E3"/>
    <w:rsid w:val="0083490C"/>
    <w:rsid w:val="008507F2"/>
    <w:rsid w:val="00853209"/>
    <w:rsid w:val="00864A10"/>
    <w:rsid w:val="00867928"/>
    <w:rsid w:val="00875641"/>
    <w:rsid w:val="00883BDE"/>
    <w:rsid w:val="00884B07"/>
    <w:rsid w:val="008934C4"/>
    <w:rsid w:val="00897A04"/>
    <w:rsid w:val="008A0854"/>
    <w:rsid w:val="008A3BD6"/>
    <w:rsid w:val="008A4606"/>
    <w:rsid w:val="008C0CAB"/>
    <w:rsid w:val="008D0315"/>
    <w:rsid w:val="008E35D2"/>
    <w:rsid w:val="008F49AF"/>
    <w:rsid w:val="008F77F3"/>
    <w:rsid w:val="00905E6C"/>
    <w:rsid w:val="0091076A"/>
    <w:rsid w:val="00910BA0"/>
    <w:rsid w:val="00923305"/>
    <w:rsid w:val="00926BDB"/>
    <w:rsid w:val="00926E46"/>
    <w:rsid w:val="009361EA"/>
    <w:rsid w:val="00940984"/>
    <w:rsid w:val="0094404B"/>
    <w:rsid w:val="00955C82"/>
    <w:rsid w:val="0095723A"/>
    <w:rsid w:val="009660F8"/>
    <w:rsid w:val="00967DD3"/>
    <w:rsid w:val="009726CF"/>
    <w:rsid w:val="00976203"/>
    <w:rsid w:val="00977611"/>
    <w:rsid w:val="0098184C"/>
    <w:rsid w:val="0098325C"/>
    <w:rsid w:val="0098666D"/>
    <w:rsid w:val="00987D5E"/>
    <w:rsid w:val="009943AE"/>
    <w:rsid w:val="0099651C"/>
    <w:rsid w:val="009A7FF7"/>
    <w:rsid w:val="009C461C"/>
    <w:rsid w:val="009C5030"/>
    <w:rsid w:val="009E196D"/>
    <w:rsid w:val="009F35B4"/>
    <w:rsid w:val="009F56F9"/>
    <w:rsid w:val="00A02C99"/>
    <w:rsid w:val="00A03C1B"/>
    <w:rsid w:val="00A1003A"/>
    <w:rsid w:val="00A20DBB"/>
    <w:rsid w:val="00A30958"/>
    <w:rsid w:val="00A34CB4"/>
    <w:rsid w:val="00A5197E"/>
    <w:rsid w:val="00A55101"/>
    <w:rsid w:val="00A556DD"/>
    <w:rsid w:val="00A75676"/>
    <w:rsid w:val="00A85414"/>
    <w:rsid w:val="00A94352"/>
    <w:rsid w:val="00A94D55"/>
    <w:rsid w:val="00AA0BCA"/>
    <w:rsid w:val="00AA235B"/>
    <w:rsid w:val="00AA798B"/>
    <w:rsid w:val="00AB07C5"/>
    <w:rsid w:val="00AB1240"/>
    <w:rsid w:val="00AB4C88"/>
    <w:rsid w:val="00AB5494"/>
    <w:rsid w:val="00AB5E02"/>
    <w:rsid w:val="00AC0326"/>
    <w:rsid w:val="00AC4F2E"/>
    <w:rsid w:val="00AC544C"/>
    <w:rsid w:val="00AF2F7C"/>
    <w:rsid w:val="00AF3269"/>
    <w:rsid w:val="00B17227"/>
    <w:rsid w:val="00B1785B"/>
    <w:rsid w:val="00B21C5E"/>
    <w:rsid w:val="00B26175"/>
    <w:rsid w:val="00B3434D"/>
    <w:rsid w:val="00B40100"/>
    <w:rsid w:val="00B54322"/>
    <w:rsid w:val="00B60E76"/>
    <w:rsid w:val="00B67075"/>
    <w:rsid w:val="00B713E7"/>
    <w:rsid w:val="00B9709A"/>
    <w:rsid w:val="00BA37F7"/>
    <w:rsid w:val="00BB0288"/>
    <w:rsid w:val="00BB3ECD"/>
    <w:rsid w:val="00BD5D3E"/>
    <w:rsid w:val="00BE6B59"/>
    <w:rsid w:val="00BF2243"/>
    <w:rsid w:val="00BF4706"/>
    <w:rsid w:val="00C027A1"/>
    <w:rsid w:val="00C03715"/>
    <w:rsid w:val="00C0532A"/>
    <w:rsid w:val="00C059F8"/>
    <w:rsid w:val="00C1082B"/>
    <w:rsid w:val="00C242A5"/>
    <w:rsid w:val="00C45809"/>
    <w:rsid w:val="00C528B1"/>
    <w:rsid w:val="00C54665"/>
    <w:rsid w:val="00C57023"/>
    <w:rsid w:val="00C80707"/>
    <w:rsid w:val="00C82972"/>
    <w:rsid w:val="00C84D81"/>
    <w:rsid w:val="00C93482"/>
    <w:rsid w:val="00C94D52"/>
    <w:rsid w:val="00C97136"/>
    <w:rsid w:val="00CA13A5"/>
    <w:rsid w:val="00CA4DD5"/>
    <w:rsid w:val="00CB01CC"/>
    <w:rsid w:val="00CB45F2"/>
    <w:rsid w:val="00CB533E"/>
    <w:rsid w:val="00CC2C76"/>
    <w:rsid w:val="00CC3FF6"/>
    <w:rsid w:val="00CC765E"/>
    <w:rsid w:val="00CD57EB"/>
    <w:rsid w:val="00CF36F4"/>
    <w:rsid w:val="00D06916"/>
    <w:rsid w:val="00D16171"/>
    <w:rsid w:val="00D3106B"/>
    <w:rsid w:val="00D356D1"/>
    <w:rsid w:val="00D36208"/>
    <w:rsid w:val="00D41F07"/>
    <w:rsid w:val="00D421F4"/>
    <w:rsid w:val="00D43A40"/>
    <w:rsid w:val="00D47D6C"/>
    <w:rsid w:val="00D512E8"/>
    <w:rsid w:val="00D54ABF"/>
    <w:rsid w:val="00D55DFB"/>
    <w:rsid w:val="00D56200"/>
    <w:rsid w:val="00D57AFE"/>
    <w:rsid w:val="00D6260D"/>
    <w:rsid w:val="00D67B9A"/>
    <w:rsid w:val="00D82A41"/>
    <w:rsid w:val="00D83C09"/>
    <w:rsid w:val="00D92AEE"/>
    <w:rsid w:val="00D93FDC"/>
    <w:rsid w:val="00DA1A39"/>
    <w:rsid w:val="00DA1CFB"/>
    <w:rsid w:val="00DA3F75"/>
    <w:rsid w:val="00DA74F6"/>
    <w:rsid w:val="00DB0875"/>
    <w:rsid w:val="00DB1BDD"/>
    <w:rsid w:val="00DB237F"/>
    <w:rsid w:val="00DC3ABC"/>
    <w:rsid w:val="00DC7C59"/>
    <w:rsid w:val="00DD29AD"/>
    <w:rsid w:val="00DD3D13"/>
    <w:rsid w:val="00DE34C0"/>
    <w:rsid w:val="00DF4DB1"/>
    <w:rsid w:val="00E1017C"/>
    <w:rsid w:val="00E101B0"/>
    <w:rsid w:val="00E1059C"/>
    <w:rsid w:val="00E12F16"/>
    <w:rsid w:val="00E16528"/>
    <w:rsid w:val="00E26BF1"/>
    <w:rsid w:val="00E31A92"/>
    <w:rsid w:val="00E3681B"/>
    <w:rsid w:val="00E40303"/>
    <w:rsid w:val="00E42C84"/>
    <w:rsid w:val="00E52BC9"/>
    <w:rsid w:val="00E65982"/>
    <w:rsid w:val="00E65B25"/>
    <w:rsid w:val="00E662D2"/>
    <w:rsid w:val="00E70DDB"/>
    <w:rsid w:val="00E70F57"/>
    <w:rsid w:val="00E71505"/>
    <w:rsid w:val="00E754E0"/>
    <w:rsid w:val="00E757BB"/>
    <w:rsid w:val="00E83E16"/>
    <w:rsid w:val="00E84D0D"/>
    <w:rsid w:val="00E8643F"/>
    <w:rsid w:val="00E87CB9"/>
    <w:rsid w:val="00E909CC"/>
    <w:rsid w:val="00E92043"/>
    <w:rsid w:val="00EA4323"/>
    <w:rsid w:val="00EA75DD"/>
    <w:rsid w:val="00EB2B8B"/>
    <w:rsid w:val="00EB3AF1"/>
    <w:rsid w:val="00EB3CE4"/>
    <w:rsid w:val="00EB6784"/>
    <w:rsid w:val="00EC4367"/>
    <w:rsid w:val="00ED4F8B"/>
    <w:rsid w:val="00EE4A12"/>
    <w:rsid w:val="00EE6C05"/>
    <w:rsid w:val="00F049E8"/>
    <w:rsid w:val="00F064BC"/>
    <w:rsid w:val="00F10D97"/>
    <w:rsid w:val="00F15351"/>
    <w:rsid w:val="00F2208D"/>
    <w:rsid w:val="00F3172C"/>
    <w:rsid w:val="00F36FC1"/>
    <w:rsid w:val="00F45477"/>
    <w:rsid w:val="00F550F5"/>
    <w:rsid w:val="00F64D50"/>
    <w:rsid w:val="00F71DFF"/>
    <w:rsid w:val="00F8620F"/>
    <w:rsid w:val="00F86732"/>
    <w:rsid w:val="00F9213E"/>
    <w:rsid w:val="00F94C2E"/>
    <w:rsid w:val="00FA0888"/>
    <w:rsid w:val="00FB5B61"/>
    <w:rsid w:val="00FC423A"/>
    <w:rsid w:val="00FC488B"/>
    <w:rsid w:val="00FD4E62"/>
    <w:rsid w:val="00FE1770"/>
    <w:rsid w:val="00FE2C39"/>
    <w:rsid w:val="00FE4E37"/>
    <w:rsid w:val="214671A4"/>
    <w:rsid w:val="3EF073D8"/>
    <w:rsid w:val="556157D6"/>
    <w:rsid w:val="593E55DD"/>
    <w:rsid w:val="627A4316"/>
    <w:rsid w:val="651202C1"/>
    <w:rsid w:val="752C4A25"/>
    <w:rsid w:val="76811B4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7"/>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uiPriority w:val="99"/>
    <w:rPr>
      <w:sz w:val="24"/>
    </w:rPr>
  </w:style>
  <w:style w:type="paragraph" w:styleId="7">
    <w:name w:val="annotation subject"/>
    <w:basedOn w:val="2"/>
    <w:next w:val="2"/>
    <w:link w:val="18"/>
    <w:semiHidden/>
    <w:unhideWhenUsed/>
    <w:uiPriority w:val="99"/>
    <w:rPr>
      <w:b/>
      <w:bCs/>
    </w:rPr>
  </w:style>
  <w:style w:type="character" w:styleId="10">
    <w:name w:val="annotation reference"/>
    <w:semiHidden/>
    <w:unhideWhenUsed/>
    <w:uiPriority w:val="99"/>
    <w:rPr>
      <w:sz w:val="21"/>
      <w:szCs w:val="21"/>
    </w:rPr>
  </w:style>
  <w:style w:type="paragraph" w:customStyle="1" w:styleId="11">
    <w:name w:val="msonormalcxspmiddle"/>
    <w:basedOn w:val="1"/>
    <w:qFormat/>
    <w:uiPriority w:val="0"/>
    <w:pPr>
      <w:widowControl/>
      <w:spacing w:beforeAutospacing="1"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4">
    <w:name w:val="页眉 字符"/>
    <w:link w:val="5"/>
    <w:semiHidden/>
    <w:qFormat/>
    <w:uiPriority w:val="99"/>
    <w:rPr>
      <w:sz w:val="18"/>
      <w:szCs w:val="18"/>
    </w:rPr>
  </w:style>
  <w:style w:type="character" w:customStyle="1" w:styleId="15">
    <w:name w:val="页脚 字符"/>
    <w:link w:val="4"/>
    <w:qFormat/>
    <w:uiPriority w:val="99"/>
    <w:rPr>
      <w:sz w:val="18"/>
      <w:szCs w:val="18"/>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文字 字符"/>
    <w:link w:val="2"/>
    <w:semiHidden/>
    <w:qFormat/>
    <w:uiPriority w:val="99"/>
    <w:rPr>
      <w:rFonts w:ascii="Times New Roman" w:hAnsi="Times New Roman"/>
      <w:kern w:val="2"/>
      <w:sz w:val="21"/>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1944</Words>
  <Characters>11083</Characters>
  <Lines>92</Lines>
  <Paragraphs>26</Paragraphs>
  <TotalTime>1</TotalTime>
  <ScaleCrop>false</ScaleCrop>
  <LinksUpToDate>false</LinksUpToDate>
  <CharactersWithSpaces>13001</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2022-05-12T01:20:00Z</dcterms:created>
  <dc:creator>陈浩01</dc:creator>
  <cp:lastModifiedBy>应心茹</cp:lastModifiedBy>
  <cp:lastPrinted>2020-08-27T02:08:00Z</cp:lastPrinted>
  <dcterms:modified xsi:type="dcterms:W3CDTF">2022-07-06T02:24:54Z</dcterms:modified>
  <dc:title>温州银行“金鹿理财-温盈”1号银行理财计划风险揭示书</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