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rPr>
      </w:pPr>
      <w:bookmarkStart w:id="0" w:name="_GoBack"/>
      <w:bookmarkEnd w:id="0"/>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szCs w:val="21"/>
          <w:u w:val="single"/>
        </w:rPr>
        <w:t>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szCs w:val="21"/>
          <w:lang w:eastAsia="zh-CN"/>
        </w:rPr>
        <w:t>、</w:t>
      </w:r>
      <w:r>
        <w:rPr>
          <w:rFonts w:hint="eastAsia" w:ascii="宋体" w:hAnsi="宋体"/>
          <w:szCs w:val="21"/>
          <w:lang w:val="en-US" w:eastAsia="zh-CN"/>
        </w:rPr>
        <w:t>机构投资者</w:t>
      </w:r>
      <w:r>
        <w:rPr>
          <w:rFonts w:hint="eastAsia" w:ascii="宋体" w:hAnsi="宋体"/>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盈周”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盈周”1号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hint="eastAsia" w:ascii="宋体" w:hAnsi="宋体"/>
          <w:szCs w:val="21"/>
        </w:rPr>
      </w:pPr>
      <w:r>
        <w:rPr>
          <w:rFonts w:hint="eastAsia" w:ascii="宋体" w:hAnsi="宋体"/>
          <w:szCs w:val="21"/>
        </w:rPr>
        <w:t>个人投资者（签字）：</w:t>
      </w:r>
    </w:p>
    <w:p>
      <w:pPr>
        <w:adjustRightInd w:val="0"/>
        <w:snapToGrid w:val="0"/>
        <w:spacing w:line="312" w:lineRule="auto"/>
        <w:jc w:val="left"/>
        <w:rPr>
          <w:rFonts w:hint="eastAsia" w:ascii="宋体" w:hAnsi="宋体"/>
          <w:szCs w:val="21"/>
        </w:rPr>
      </w:pPr>
      <w:r>
        <w:rPr>
          <w:rFonts w:hint="eastAsia" w:ascii="宋体" w:hAnsi="宋体"/>
          <w:szCs w:val="21"/>
        </w:rPr>
        <w:t>机构投资者（盖章）：</w:t>
      </w:r>
    </w:p>
    <w:p>
      <w:pPr>
        <w:adjustRightInd w:val="0"/>
        <w:snapToGrid w:val="0"/>
        <w:spacing w:line="312" w:lineRule="auto"/>
        <w:jc w:val="left"/>
        <w:rPr>
          <w:rFonts w:hint="eastAsia"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hint="eastAsia"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hint="eastAsia"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rFonts w:hint="eastAsia"/>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普惠盈周”1号开放式净值型银行理财计划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BJ&#10;6N7M2QAAAAgBAAAPAAAAAAAAAAEAIAAAACIAAABkcnMvZG93bnJldi54bWxQSwECFAAUAAAACACH&#10;TuJAmVu7d7EBAABFAwAADgAAAAAAAAABACAAAAAoAQAAZHJzL2Uyb0RvYy54bWxQSwUGAAAAAAYA&#10;BgBZAQAASwU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upright="1"/>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upright="1"/>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&#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sz w:val="18"/>
                <w:szCs w:val="18"/>
                <w:u w:val="single"/>
              </w:rPr>
              <w:t>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sz w:val="18"/>
                <w:szCs w:val="18"/>
              </w:rPr>
            </w:pPr>
            <w:r>
              <w:rPr>
                <w:rFonts w:hint="eastAsia"/>
                <w:sz w:val="18"/>
                <w:szCs w:val="18"/>
              </w:rPr>
              <w:t>PZ0001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C1092220000402</w:t>
            </w:r>
          </w:p>
          <w:p>
            <w:pPr>
              <w:pStyle w:val="10"/>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sz w:val="18"/>
                <w:szCs w:val="18"/>
              </w:rPr>
            </w:pPr>
            <w:r>
              <w:rPr>
                <w:rFonts w:hint="eastAsia"/>
                <w:sz w:val="18"/>
                <w:szCs w:val="18"/>
              </w:rPr>
              <w:t>公开募集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sz w:val="18"/>
                <w:szCs w:val="18"/>
                <w:u w:val="single"/>
              </w:rPr>
            </w:pPr>
            <w:r>
              <w:rPr>
                <w:rFonts w:hint="eastAsia"/>
                <w:sz w:val="18"/>
                <w:szCs w:val="18"/>
                <w:u w:val="single"/>
              </w:rPr>
              <w:t>2020年9月21日至2020年9月27日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sz w:val="18"/>
                <w:szCs w:val="18"/>
              </w:rPr>
              <w:t>2020年9月28日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封闭期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sz w:val="18"/>
                <w:szCs w:val="18"/>
              </w:rPr>
            </w:pPr>
            <w:r>
              <w:rPr>
                <w:rFonts w:hint="eastAsia"/>
                <w:sz w:val="18"/>
                <w:szCs w:val="18"/>
              </w:rPr>
              <w:t>2020年9月28日至2020年10月28日，封闭期内不受理申购赎回申请。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rFonts w:hint="eastAsia"/>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7</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rFonts w:ascii="宋体" w:hAnsi="宋体"/>
                <w:sz w:val="24"/>
              </w:rPr>
            </w:pPr>
            <w:r>
              <w:rPr>
                <w:rFonts w:hint="eastAsia" w:ascii="宋体" w:hAnsi="宋体"/>
                <w:sz w:val="18"/>
              </w:rPr>
              <w:t>5.产品封闭期结束后的每个周四（如遇非工作日则顺延至下一工作日）为投资周期终止日。</w:t>
            </w:r>
          </w:p>
          <w:p>
            <w:pPr>
              <w:autoSpaceDN w:val="0"/>
              <w:rPr>
                <w:sz w:val="18"/>
                <w:szCs w:val="18"/>
              </w:rPr>
            </w:pPr>
            <w:r>
              <w:rPr>
                <w:rFonts w:hint="eastAsia" w:ascii="宋体" w:hAnsi="宋体"/>
                <w:sz w:val="18"/>
              </w:rPr>
              <w:t>6</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千元的整数倍。单户累计最大购买金额1000万元。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rFonts w:hint="eastAsia"/>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rFonts w:hint="eastAsia"/>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3%（年化）</w:t>
            </w:r>
          </w:p>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0.5%（年化）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hint="eastAsia" w:cs="Times New Roman"/>
                <w:sz w:val="18"/>
                <w:szCs w:val="18"/>
                <w:highlight w:val="yellow"/>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rFonts w:hint="eastAsia"/>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rFonts w:hint="eastAsia"/>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hint="eastAsia"/>
                <w:sz w:val="18"/>
                <w:szCs w:val="18"/>
              </w:rPr>
            </w:pPr>
            <w:r>
              <w:rPr>
                <w:rFonts w:hint="eastAsia"/>
                <w:sz w:val="18"/>
                <w:szCs w:val="18"/>
              </w:rPr>
              <w:t>温州银行将在温州银行官方网站定期披露产品净值、投资收益情况及其他重要信息。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进行相关信息披露。理财本金在理财开始日前交存于温州银行的，按当时实行的活期利率计息。赎回清算日到理财资金返还到账日为还本清算期，还本清算期内不计付利息和收益。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rFonts w:hint="eastAsia"/>
          <w:sz w:val="18"/>
          <w:szCs w:val="18"/>
        </w:rPr>
      </w:pPr>
      <w:r>
        <w:rPr>
          <w:rFonts w:hint="eastAsia"/>
          <w:sz w:val="18"/>
          <w:szCs w:val="18"/>
        </w:rPr>
        <w:t>本产品为固定收益类理财产品，温州银行主要将理财产品募集资金直接或间接配置于存款、</w:t>
      </w:r>
      <w:r>
        <w:rPr>
          <w:rFonts w:hint="eastAsia"/>
          <w:sz w:val="18"/>
          <w:szCs w:val="18"/>
          <w:lang w:val="en-US" w:eastAsia="zh-CN"/>
        </w:rPr>
        <w:t>债券回购、</w:t>
      </w:r>
      <w:r>
        <w:rPr>
          <w:rFonts w:hint="eastAsia"/>
          <w:sz w:val="18"/>
          <w:szCs w:val="18"/>
        </w:rPr>
        <w:t>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及其他符合监管要求的投资标的和资产组合。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固定收益类</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lang w:val="en-US" w:eastAsia="zh-CN"/>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其他符合监管要求的固定收益类类资产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rFonts w:hint="eastAsia"/>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rFonts w:hint="eastAsia"/>
          <w:b/>
          <w:bCs/>
          <w:sz w:val="18"/>
          <w:szCs w:val="18"/>
        </w:rPr>
      </w:pPr>
      <w:r>
        <w:rPr>
          <w:rFonts w:hint="eastAsia"/>
          <w:b/>
          <w:bCs/>
          <w:sz w:val="18"/>
          <w:szCs w:val="18"/>
        </w:rPr>
        <w:t>投资管理人</w:t>
      </w:r>
    </w:p>
    <w:p>
      <w:pPr>
        <w:adjustRightInd w:val="0"/>
        <w:snapToGrid w:val="0"/>
        <w:spacing w:line="286" w:lineRule="auto"/>
        <w:rPr>
          <w:rFonts w:hint="eastAsia"/>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rPr>
      </w:pPr>
      <w:r>
        <w:rPr>
          <w:rFonts w:hint="eastAsia"/>
          <w:b/>
          <w:bCs/>
          <w:sz w:val="18"/>
          <w:szCs w:val="18"/>
        </w:rPr>
        <w:t>理财产品估值</w:t>
      </w:r>
    </w:p>
    <w:p>
      <w:pPr>
        <w:adjustRightInd w:val="0"/>
        <w:snapToGrid w:val="0"/>
        <w:spacing w:line="286" w:lineRule="auto"/>
        <w:rPr>
          <w:rFonts w:hint="eastAsia"/>
          <w:sz w:val="18"/>
          <w:szCs w:val="18"/>
        </w:rPr>
      </w:pPr>
      <w:r>
        <w:rPr>
          <w:rFonts w:hint="eastAsia"/>
          <w:sz w:val="18"/>
          <w:szCs w:val="18"/>
        </w:rPr>
        <w:t xml:space="preserve">【估值日】 </w:t>
      </w:r>
    </w:p>
    <w:p>
      <w:pPr>
        <w:adjustRightInd w:val="0"/>
        <w:snapToGrid w:val="0"/>
        <w:spacing w:line="286" w:lineRule="auto"/>
        <w:rPr>
          <w:rFonts w:hint="eastAsia"/>
          <w:sz w:val="18"/>
          <w:szCs w:val="18"/>
        </w:rPr>
      </w:pPr>
      <w:r>
        <w:rPr>
          <w:rFonts w:hint="eastAsia"/>
          <w:sz w:val="18"/>
          <w:szCs w:val="18"/>
        </w:rPr>
        <w:t xml:space="preserve">本理财产品估值日为每个证券交易所的交易日，每周投资管理人和理财托管人核对估值结果，每个开放日结束后2日内，披露本理财产品在开放日的估值。（如遇非工作日顺延至下一工作日，具体日期以温州银行公告为准）。 </w:t>
      </w:r>
    </w:p>
    <w:p>
      <w:pPr>
        <w:adjustRightInd w:val="0"/>
        <w:snapToGrid w:val="0"/>
        <w:spacing w:line="286" w:lineRule="auto"/>
        <w:rPr>
          <w:rFonts w:hint="eastAsia"/>
          <w:sz w:val="18"/>
          <w:szCs w:val="18"/>
        </w:rPr>
      </w:pPr>
      <w:r>
        <w:rPr>
          <w:rFonts w:hint="eastAsia"/>
          <w:sz w:val="18"/>
          <w:szCs w:val="18"/>
        </w:rPr>
        <w:t>【估值对象】</w:t>
      </w:r>
    </w:p>
    <w:p>
      <w:pPr>
        <w:adjustRightInd w:val="0"/>
        <w:snapToGrid w:val="0"/>
        <w:spacing w:line="286" w:lineRule="auto"/>
        <w:rPr>
          <w:rFonts w:hint="eastAsia"/>
          <w:sz w:val="18"/>
          <w:szCs w:val="18"/>
        </w:rPr>
      </w:pPr>
      <w:r>
        <w:rPr>
          <w:rFonts w:hint="eastAsia"/>
          <w:sz w:val="18"/>
          <w:szCs w:val="18"/>
        </w:rPr>
        <w:t xml:space="preserve"> 本理财产品所拥有的投资资产。</w:t>
      </w:r>
    </w:p>
    <w:p>
      <w:pPr>
        <w:adjustRightInd w:val="0"/>
        <w:snapToGrid w:val="0"/>
        <w:spacing w:line="286" w:lineRule="auto"/>
        <w:rPr>
          <w:rFonts w:hint="eastAsia"/>
          <w:sz w:val="18"/>
          <w:szCs w:val="18"/>
        </w:rPr>
      </w:pPr>
      <w:r>
        <w:rPr>
          <w:rFonts w:hint="eastAsia"/>
          <w:sz w:val="18"/>
          <w:szCs w:val="18"/>
        </w:rPr>
        <w:t xml:space="preserve">【估值目的】 </w:t>
      </w:r>
    </w:p>
    <w:p>
      <w:pPr>
        <w:adjustRightInd w:val="0"/>
        <w:snapToGrid w:val="0"/>
        <w:spacing w:line="286" w:lineRule="auto"/>
        <w:rPr>
          <w:rFonts w:hint="eastAsia"/>
          <w:sz w:val="18"/>
          <w:szCs w:val="18"/>
        </w:rPr>
      </w:pPr>
      <w:r>
        <w:rPr>
          <w:rFonts w:hint="eastAsia"/>
          <w:sz w:val="18"/>
          <w:szCs w:val="18"/>
        </w:rPr>
        <w:t xml:space="preserve">客观、准确反映理财产品的价值。 </w:t>
      </w:r>
    </w:p>
    <w:p>
      <w:pPr>
        <w:adjustRightInd w:val="0"/>
        <w:snapToGrid w:val="0"/>
        <w:spacing w:line="286" w:lineRule="auto"/>
        <w:rPr>
          <w:rFonts w:hint="eastAsia"/>
          <w:sz w:val="18"/>
          <w:szCs w:val="18"/>
        </w:rPr>
      </w:pPr>
      <w:r>
        <w:rPr>
          <w:rFonts w:hint="eastAsia"/>
          <w:sz w:val="18"/>
          <w:szCs w:val="18"/>
        </w:rPr>
        <w:t xml:space="preserve">【估值方法】 </w:t>
      </w:r>
    </w:p>
    <w:p>
      <w:pPr>
        <w:adjustRightInd w:val="0"/>
        <w:snapToGrid w:val="0"/>
        <w:spacing w:line="286" w:lineRule="auto"/>
        <w:rPr>
          <w:rFonts w:hint="eastAsia"/>
          <w:sz w:val="18"/>
          <w:szCs w:val="18"/>
        </w:rPr>
      </w:pPr>
      <w:r>
        <w:rPr>
          <w:rFonts w:hint="eastAsia"/>
          <w:sz w:val="18"/>
          <w:szCs w:val="18"/>
        </w:rPr>
        <w:t xml:space="preserve">1、债券的估值方法 </w:t>
      </w:r>
    </w:p>
    <w:p>
      <w:pPr>
        <w:adjustRightInd w:val="0"/>
        <w:snapToGrid w:val="0"/>
        <w:spacing w:line="286" w:lineRule="auto"/>
        <w:rPr>
          <w:rFonts w:hint="eastAsia"/>
          <w:sz w:val="18"/>
          <w:szCs w:val="18"/>
        </w:rPr>
      </w:pPr>
      <w:r>
        <w:rPr>
          <w:rFonts w:hint="eastAsia"/>
          <w:sz w:val="18"/>
          <w:szCs w:val="18"/>
        </w:rPr>
        <w:t>（1）以持有到期为目的持有的债券，在符合监管规定的情况下按摊余成本法估值；</w:t>
      </w:r>
    </w:p>
    <w:p>
      <w:pPr>
        <w:adjustRightInd w:val="0"/>
        <w:snapToGrid w:val="0"/>
        <w:spacing w:line="286" w:lineRule="auto"/>
        <w:rPr>
          <w:rFonts w:hint="eastAsia"/>
          <w:sz w:val="18"/>
          <w:szCs w:val="18"/>
        </w:rPr>
      </w:pPr>
      <w:r>
        <w:rPr>
          <w:rFonts w:hint="eastAsia"/>
          <w:sz w:val="18"/>
          <w:szCs w:val="18"/>
        </w:rPr>
        <w:t>（2）以交易为目的持有的债券按市价法估值。</w:t>
      </w:r>
    </w:p>
    <w:p>
      <w:pPr>
        <w:adjustRightInd w:val="0"/>
        <w:snapToGrid w:val="0"/>
        <w:spacing w:line="286" w:lineRule="auto"/>
        <w:rPr>
          <w:rFonts w:hint="eastAsia"/>
          <w:sz w:val="18"/>
          <w:szCs w:val="18"/>
        </w:rPr>
      </w:pPr>
      <w:r>
        <w:rPr>
          <w:rFonts w:hint="eastAsia"/>
          <w:sz w:val="18"/>
          <w:szCs w:val="18"/>
        </w:rPr>
        <w:t xml:space="preserve">2、货币市场金融工具的估值方法 </w:t>
      </w:r>
    </w:p>
    <w:p>
      <w:pPr>
        <w:adjustRightInd w:val="0"/>
        <w:snapToGrid w:val="0"/>
        <w:spacing w:line="286" w:lineRule="auto"/>
        <w:rPr>
          <w:rFonts w:hint="eastAsia"/>
          <w:sz w:val="18"/>
          <w:szCs w:val="18"/>
        </w:rPr>
      </w:pPr>
      <w:r>
        <w:rPr>
          <w:rFonts w:hint="eastAsia"/>
          <w:sz w:val="18"/>
          <w:szCs w:val="18"/>
        </w:rPr>
        <w:t>（1）银行存款类资产以本金列示、逐日计提利息；</w:t>
      </w:r>
    </w:p>
    <w:p>
      <w:pPr>
        <w:adjustRightInd w:val="0"/>
        <w:snapToGrid w:val="0"/>
        <w:spacing w:line="286" w:lineRule="auto"/>
        <w:rPr>
          <w:rFonts w:hint="eastAsia"/>
          <w:sz w:val="18"/>
          <w:szCs w:val="18"/>
        </w:rPr>
      </w:pPr>
      <w:r>
        <w:rPr>
          <w:rFonts w:hint="eastAsia"/>
          <w:sz w:val="18"/>
          <w:szCs w:val="18"/>
        </w:rPr>
        <w:t>（2）货币基金以当日基金净值估值，以前一交易日的万份收益计提基金收益；</w:t>
      </w:r>
    </w:p>
    <w:p>
      <w:pPr>
        <w:adjustRightInd w:val="0"/>
        <w:snapToGrid w:val="0"/>
        <w:spacing w:line="286" w:lineRule="auto"/>
        <w:rPr>
          <w:rFonts w:hint="eastAsia"/>
          <w:sz w:val="18"/>
          <w:szCs w:val="18"/>
        </w:rPr>
      </w:pPr>
      <w:r>
        <w:rPr>
          <w:rFonts w:hint="eastAsia"/>
          <w:sz w:val="18"/>
          <w:szCs w:val="18"/>
        </w:rPr>
        <w:t xml:space="preserve">3、其他资产的估值方法 </w:t>
      </w:r>
    </w:p>
    <w:p>
      <w:pPr>
        <w:adjustRightInd w:val="0"/>
        <w:snapToGrid w:val="0"/>
        <w:spacing w:line="286" w:lineRule="auto"/>
        <w:rPr>
          <w:rFonts w:hint="eastAsia"/>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rPr>
      </w:pPr>
      <w:r>
        <w:rPr>
          <w:rFonts w:hint="eastAsia"/>
          <w:sz w:val="18"/>
          <w:szCs w:val="18"/>
        </w:rPr>
        <w:t xml:space="preserve">4、其他 </w:t>
      </w:r>
    </w:p>
    <w:p>
      <w:pPr>
        <w:adjustRightInd w:val="0"/>
        <w:snapToGrid w:val="0"/>
        <w:spacing w:line="286" w:lineRule="auto"/>
        <w:rPr>
          <w:rFonts w:hint="eastAsia"/>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rPr>
      </w:pPr>
      <w:r>
        <w:rPr>
          <w:rFonts w:hint="eastAsia"/>
          <w:sz w:val="18"/>
          <w:szCs w:val="18"/>
        </w:rPr>
        <w:t>【估值错误处理】</w:t>
      </w:r>
    </w:p>
    <w:p>
      <w:pPr>
        <w:adjustRightInd w:val="0"/>
        <w:snapToGrid w:val="0"/>
        <w:spacing w:line="286" w:lineRule="auto"/>
        <w:rPr>
          <w:rFonts w:hint="eastAsia"/>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b/>
          <w:sz w:val="18"/>
          <w:szCs w:val="18"/>
        </w:rPr>
      </w:pPr>
      <w:r>
        <w:rPr>
          <w:rFonts w:hint="eastAsia"/>
          <w:b/>
          <w:sz w:val="18"/>
          <w:szCs w:val="18"/>
        </w:rPr>
        <w:t>理财收益测算及相关费用</w:t>
      </w:r>
    </w:p>
    <w:p>
      <w:pPr>
        <w:adjustRightInd w:val="0"/>
        <w:snapToGrid w:val="0"/>
        <w:spacing w:line="286" w:lineRule="auto"/>
        <w:rPr>
          <w:rFonts w:hint="eastAsia"/>
          <w:sz w:val="18"/>
          <w:szCs w:val="18"/>
        </w:rPr>
      </w:pPr>
      <w:r>
        <w:rPr>
          <w:rFonts w:hint="eastAsia"/>
          <w:sz w:val="18"/>
          <w:szCs w:val="18"/>
        </w:rPr>
        <w:t>【理财产品单位净值】</w:t>
      </w:r>
    </w:p>
    <w:p>
      <w:pPr>
        <w:adjustRightInd w:val="0"/>
        <w:snapToGrid w:val="0"/>
        <w:spacing w:line="286" w:lineRule="auto"/>
        <w:rPr>
          <w:rFonts w:hint="eastAsia"/>
          <w:sz w:val="18"/>
          <w:szCs w:val="18"/>
        </w:rPr>
      </w:pPr>
      <w:r>
        <w:rPr>
          <w:rFonts w:hint="eastAsia"/>
          <w:sz w:val="18"/>
          <w:szCs w:val="18"/>
        </w:rPr>
        <w:t>理财产品单位净值=理财产品总净值÷理财产品总份额</w:t>
      </w:r>
    </w:p>
    <w:p>
      <w:pPr>
        <w:adjustRightInd w:val="0"/>
        <w:snapToGrid w:val="0"/>
        <w:spacing w:line="286" w:lineRule="auto"/>
        <w:rPr>
          <w:rFonts w:hint="eastAsia"/>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rFonts w:hint="eastAsia"/>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20年9月28日。封闭期为2020年9月28日至2020年10月28日。从封闭期结束后，每</w:t>
      </w:r>
      <w:r>
        <w:rPr>
          <w:rFonts w:ascii="宋体" w:hAnsi="宋体"/>
          <w:sz w:val="18"/>
        </w:rPr>
        <w:t>【</w:t>
      </w:r>
      <w:r>
        <w:rPr>
          <w:rFonts w:hint="eastAsia" w:ascii="宋体" w:hAnsi="宋体"/>
          <w:sz w:val="18"/>
        </w:rPr>
        <w:t>7</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w:t>
      </w:r>
      <w:r>
        <w:rPr>
          <w:rFonts w:hint="eastAsia"/>
          <w:sz w:val="18"/>
          <w:szCs w:val="18"/>
        </w:rPr>
        <w:t>。</w:t>
      </w:r>
    </w:p>
    <w:p>
      <w:pPr>
        <w:adjustRightInd w:val="0"/>
        <w:snapToGrid w:val="0"/>
        <w:spacing w:line="286" w:lineRule="auto"/>
        <w:rPr>
          <w:rFonts w:hint="eastAsia"/>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）投资者可于开放期内向温州银行提出赎回申请，温州银行按照先申请、先赎回原则确认赎回申请，如该赎回日内净赎回份额合计超过理财产品总份额的1</w:t>
      </w:r>
      <w:r>
        <w:rPr>
          <w:sz w:val="18"/>
          <w:szCs w:val="18"/>
        </w:rPr>
        <w:t>0%，则发生</w:t>
      </w:r>
      <w:r>
        <w:rPr>
          <w:rFonts w:hint="eastAsia"/>
          <w:sz w:val="18"/>
          <w:szCs w:val="18"/>
        </w:rPr>
        <w:t>巨额赎回事件，温州银行有权拒绝接受超过1</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亿份，在开放期内投资者净赎回达到1亿份，温州银行有权拒绝确认1亿份之后的赎回申请，相应的投资者当期无法赎回理财计划份额。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rFonts w:hint="eastAsia"/>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rFonts w:hint="eastAsia"/>
          <w:sz w:val="18"/>
          <w:szCs w:val="18"/>
        </w:rPr>
      </w:pPr>
      <w:r>
        <w:rPr>
          <w:rFonts w:hint="eastAsia"/>
          <w:sz w:val="18"/>
          <w:szCs w:val="18"/>
        </w:rPr>
        <w:t>【终止】</w:t>
      </w:r>
    </w:p>
    <w:p>
      <w:pPr>
        <w:adjustRightInd w:val="0"/>
        <w:snapToGrid w:val="0"/>
        <w:spacing w:line="286" w:lineRule="auto"/>
        <w:rPr>
          <w:rFonts w:hint="eastAsia"/>
          <w:color w:val="000000"/>
          <w:sz w:val="18"/>
        </w:rPr>
      </w:pPr>
      <w:r>
        <w:rPr>
          <w:rFonts w:hint="eastAsia"/>
          <w:sz w:val="18"/>
          <w:szCs w:val="18"/>
        </w:rPr>
        <w:t>本产品无固定到期日</w:t>
      </w:r>
      <w:r>
        <w:rPr>
          <w:rFonts w:hint="eastAsia"/>
          <w:color w:val="000000"/>
          <w:sz w:val="18"/>
        </w:rPr>
        <w:t>，本产品存续期内，如发生下列情形之一的，温州银行有权但无义务终止理财计划：</w:t>
      </w:r>
    </w:p>
    <w:p>
      <w:pPr>
        <w:adjustRightInd w:val="0"/>
        <w:snapToGrid w:val="0"/>
        <w:spacing w:line="286" w:lineRule="auto"/>
        <w:rPr>
          <w:rFonts w:hint="eastAsia"/>
          <w:color w:val="000000"/>
          <w:sz w:val="18"/>
        </w:rPr>
      </w:pPr>
      <w:r>
        <w:rPr>
          <w:rFonts w:hint="eastAsia"/>
          <w:color w:val="000000"/>
          <w:sz w:val="18"/>
        </w:rPr>
        <w:t>（1）本理财产品余额连续20个工作日低于1亿份；</w:t>
      </w:r>
    </w:p>
    <w:p>
      <w:pPr>
        <w:adjustRightInd w:val="0"/>
        <w:snapToGrid w:val="0"/>
        <w:spacing w:line="286" w:lineRule="auto"/>
        <w:rPr>
          <w:rFonts w:hint="eastAsia"/>
          <w:sz w:val="18"/>
          <w:szCs w:val="18"/>
        </w:rPr>
      </w:pPr>
      <w:r>
        <w:rPr>
          <w:rFonts w:hint="eastAsia"/>
          <w:sz w:val="18"/>
          <w:szCs w:val="18"/>
        </w:rPr>
        <w:t>（2）如遇国家金融政策出现重大调整并影响到本产品的正常运行时，温州银行有权终止本产品。</w:t>
      </w:r>
    </w:p>
    <w:p>
      <w:pPr>
        <w:adjustRightInd w:val="0"/>
        <w:snapToGrid w:val="0"/>
        <w:spacing w:line="286" w:lineRule="auto"/>
        <w:rPr>
          <w:rFonts w:hint="eastAsia"/>
          <w:color w:val="000000"/>
          <w:sz w:val="18"/>
        </w:rPr>
      </w:pPr>
      <w:r>
        <w:rPr>
          <w:rFonts w:hint="eastAsia"/>
          <w:color w:val="000000"/>
          <w:sz w:val="18"/>
        </w:rPr>
        <w:t>（3）因本理财产品投向的金融资产所涉及的相关主体信用恶化，市场利率大幅下滑，温州银行合理判断将影响本理财产品正常运作的</w:t>
      </w:r>
      <w:r>
        <w:rPr>
          <w:rFonts w:hint="eastAsia"/>
          <w:sz w:val="18"/>
          <w:szCs w:val="18"/>
        </w:rPr>
        <w:t>，或温州银行有合理理由认为出现了影响本理财计划正常运作的其他情形的</w:t>
      </w:r>
      <w:r>
        <w:rPr>
          <w:rFonts w:hint="eastAsia"/>
          <w:color w:val="000000"/>
          <w:sz w:val="18"/>
        </w:rPr>
        <w:t>。</w:t>
      </w:r>
    </w:p>
    <w:p>
      <w:pPr>
        <w:adjustRightInd w:val="0"/>
        <w:snapToGrid w:val="0"/>
        <w:spacing w:line="286" w:lineRule="auto"/>
        <w:rPr>
          <w:rFonts w:hint="eastAsia"/>
          <w:sz w:val="18"/>
          <w:szCs w:val="18"/>
        </w:rPr>
      </w:pPr>
      <w:r>
        <w:rPr>
          <w:rFonts w:hint="eastAsia"/>
          <w:sz w:val="18"/>
          <w:szCs w:val="18"/>
        </w:rPr>
        <w:t>【相关费用】</w:t>
      </w:r>
    </w:p>
    <w:p>
      <w:pPr>
        <w:adjustRightInd w:val="0"/>
        <w:snapToGrid w:val="0"/>
        <w:spacing w:line="286" w:lineRule="auto"/>
        <w:rPr>
          <w:rFonts w:hint="eastAsia"/>
          <w:sz w:val="18"/>
          <w:szCs w:val="18"/>
        </w:rPr>
      </w:pPr>
      <w:r>
        <w:rPr>
          <w:rFonts w:hint="eastAsia"/>
          <w:sz w:val="18"/>
          <w:szCs w:val="18"/>
        </w:rPr>
        <w:t>（1）理财管理人的固定管理费</w:t>
      </w:r>
    </w:p>
    <w:p>
      <w:pPr>
        <w:adjustRightInd w:val="0"/>
        <w:snapToGrid w:val="0"/>
        <w:spacing w:line="286" w:lineRule="auto"/>
        <w:rPr>
          <w:rFonts w:hint="eastAsia"/>
          <w:sz w:val="18"/>
          <w:szCs w:val="18"/>
        </w:rPr>
      </w:pPr>
      <w:r>
        <w:rPr>
          <w:rFonts w:hint="eastAsia"/>
          <w:sz w:val="18"/>
          <w:szCs w:val="18"/>
        </w:rPr>
        <w:t>理财管理人对委托资产收取的固定管理费，理财计划财产的年固定管理费率为0.5%，计算方法如下：</w:t>
      </w:r>
    </w:p>
    <w:p>
      <w:pPr>
        <w:adjustRightInd w:val="0"/>
        <w:snapToGrid w:val="0"/>
        <w:spacing w:line="286" w:lineRule="auto"/>
        <w:rPr>
          <w:rFonts w:hint="eastAsia"/>
          <w:sz w:val="18"/>
          <w:szCs w:val="18"/>
        </w:rPr>
      </w:pPr>
      <w:r>
        <w:rPr>
          <w:rFonts w:hint="eastAsia"/>
          <w:sz w:val="18"/>
          <w:szCs w:val="18"/>
        </w:rPr>
        <w:t>H＝E×0.5%÷365</w:t>
      </w:r>
    </w:p>
    <w:p>
      <w:pPr>
        <w:adjustRightInd w:val="0"/>
        <w:snapToGrid w:val="0"/>
        <w:spacing w:line="286" w:lineRule="auto"/>
        <w:rPr>
          <w:rFonts w:hint="eastAsia"/>
          <w:sz w:val="18"/>
          <w:szCs w:val="18"/>
        </w:rPr>
      </w:pPr>
      <w:r>
        <w:rPr>
          <w:rFonts w:hint="eastAsia"/>
          <w:sz w:val="18"/>
          <w:szCs w:val="18"/>
        </w:rPr>
        <w:t>H为每日应计提的固定管理费</w:t>
      </w:r>
    </w:p>
    <w:p>
      <w:pPr>
        <w:adjustRightInd w:val="0"/>
        <w:snapToGrid w:val="0"/>
        <w:spacing w:line="286" w:lineRule="auto"/>
        <w:rPr>
          <w:rFonts w:hint="eastAsia"/>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rFonts w:hint="eastAsia"/>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rFonts w:hint="eastAsia"/>
          <w:sz w:val="18"/>
          <w:szCs w:val="18"/>
        </w:rPr>
      </w:pPr>
      <w:r>
        <w:rPr>
          <w:rFonts w:hint="eastAsia"/>
          <w:sz w:val="18"/>
          <w:szCs w:val="18"/>
        </w:rPr>
        <w:t>（2）理财管理人的浮动管理费</w:t>
      </w:r>
    </w:p>
    <w:p>
      <w:pPr>
        <w:adjustRightInd w:val="0"/>
        <w:snapToGrid w:val="0"/>
        <w:spacing w:line="286" w:lineRule="auto"/>
        <w:rPr>
          <w:rFonts w:hint="eastAsia"/>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rFonts w:hint="eastAsia"/>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rFonts w:hint="eastAsia"/>
          <w:sz w:val="18"/>
          <w:szCs w:val="18"/>
        </w:rPr>
      </w:pPr>
      <w:r>
        <w:rPr>
          <w:rFonts w:hint="eastAsia"/>
          <w:sz w:val="18"/>
          <w:szCs w:val="18"/>
        </w:rPr>
        <w:t>R为当日的业绩比较基准</w:t>
      </w:r>
    </w:p>
    <w:p>
      <w:pPr>
        <w:adjustRightInd w:val="0"/>
        <w:snapToGrid w:val="0"/>
        <w:spacing w:line="286" w:lineRule="auto"/>
        <w:rPr>
          <w:rFonts w:hint="eastAsia"/>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rFonts w:hint="eastAsia"/>
          <w:sz w:val="18"/>
          <w:szCs w:val="18"/>
        </w:rPr>
      </w:pPr>
      <w:r>
        <w:rPr>
          <w:rFonts w:hint="eastAsia"/>
          <w:sz w:val="18"/>
          <w:szCs w:val="18"/>
        </w:rPr>
        <w:t>（3）理财托管人的托管费</w:t>
      </w:r>
    </w:p>
    <w:p>
      <w:pPr>
        <w:adjustRightInd w:val="0"/>
        <w:snapToGrid w:val="0"/>
        <w:spacing w:line="286" w:lineRule="auto"/>
        <w:rPr>
          <w:rFonts w:hint="eastAsia"/>
          <w:sz w:val="18"/>
          <w:szCs w:val="18"/>
        </w:rPr>
      </w:pPr>
      <w:r>
        <w:rPr>
          <w:rFonts w:hint="eastAsia"/>
          <w:sz w:val="18"/>
          <w:szCs w:val="18"/>
        </w:rPr>
        <w:t>理财计划财产的年托管费率为0.005%，计算方法如下：</w:t>
      </w:r>
    </w:p>
    <w:p>
      <w:pPr>
        <w:adjustRightInd w:val="0"/>
        <w:snapToGrid w:val="0"/>
        <w:spacing w:line="286" w:lineRule="auto"/>
        <w:rPr>
          <w:rFonts w:hint="eastAsia"/>
          <w:sz w:val="18"/>
          <w:szCs w:val="18"/>
        </w:rPr>
      </w:pPr>
      <w:r>
        <w:rPr>
          <w:rFonts w:hint="eastAsia"/>
          <w:sz w:val="18"/>
          <w:szCs w:val="18"/>
        </w:rPr>
        <w:t>H＝E×0.005％÷365</w:t>
      </w:r>
    </w:p>
    <w:p>
      <w:pPr>
        <w:adjustRightInd w:val="0"/>
        <w:snapToGrid w:val="0"/>
        <w:spacing w:line="286" w:lineRule="auto"/>
        <w:rPr>
          <w:rFonts w:hint="eastAsia"/>
          <w:sz w:val="18"/>
          <w:szCs w:val="18"/>
        </w:rPr>
      </w:pPr>
      <w:r>
        <w:rPr>
          <w:rFonts w:hint="eastAsia"/>
          <w:sz w:val="18"/>
          <w:szCs w:val="18"/>
        </w:rPr>
        <w:t>H为每日应计提的托管费</w:t>
      </w:r>
    </w:p>
    <w:p>
      <w:pPr>
        <w:adjustRightInd w:val="0"/>
        <w:snapToGrid w:val="0"/>
        <w:spacing w:line="286" w:lineRule="auto"/>
        <w:rPr>
          <w:rFonts w:hint="eastAsia"/>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rFonts w:hint="eastAsia"/>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rFonts w:hint="eastAsia"/>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rFonts w:hint="eastAsia"/>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w:t>
      </w:r>
      <w:r>
        <w:rPr>
          <w:rFonts w:hint="eastAsia"/>
          <w:b/>
          <w:bCs/>
          <w:sz w:val="18"/>
          <w:szCs w:val="18"/>
          <w:u w:val="single"/>
        </w:rPr>
        <w:t>本理财计划在非产品工作日内投资者不得提前赎回</w:t>
      </w:r>
      <w:r>
        <w:rPr>
          <w:rFonts w:hint="eastAsia"/>
          <w:b/>
          <w:bCs/>
          <w:sz w:val="18"/>
          <w:szCs w:val="18"/>
        </w:rPr>
        <w:t>。</w:t>
      </w:r>
      <w:r>
        <w:rPr>
          <w:rFonts w:hint="eastAsia"/>
          <w:sz w:val="18"/>
          <w:szCs w:val="18"/>
        </w:rPr>
        <w:t>在理财计划存续期内的每个赎回日，若该赎回日内净赎回份额合计超过理财产品总份额的20%，则发生巨额赎回事件，温州银行有权拒绝接受超过20%以上部分的赎回申请。由此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变化或波动所引起的资产损失的可能性。宏观经济运行的周期性，财政政策、货币政策等国家政策的变动，以及政府对证券市场的监管政策的变化等因素都会对债券市场造成不同程度的影响，从而产生市场风险。</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w:t>
      </w:r>
      <w:r>
        <w:rPr>
          <w:rFonts w:hint="eastAsia"/>
          <w:sz w:val="18"/>
          <w:szCs w:val="18"/>
          <w:lang w:val="en-US" w:eastAsia="zh-CN"/>
        </w:rPr>
        <w:t>1</w:t>
      </w:r>
      <w:r>
        <w:rPr>
          <w:rFonts w:hint="eastAsia"/>
          <w:sz w:val="18"/>
          <w:szCs w:val="18"/>
        </w:rPr>
        <w:t>、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rFonts w:hint="eastAsia"/>
          <w:b/>
          <w:sz w:val="18"/>
          <w:szCs w:val="18"/>
        </w:rPr>
      </w:pPr>
      <w:r>
        <w:rPr>
          <w:rFonts w:hint="eastAsia"/>
          <w:b/>
          <w:sz w:val="18"/>
          <w:szCs w:val="18"/>
        </w:rPr>
        <w:t>信息公告</w:t>
      </w:r>
    </w:p>
    <w:p>
      <w:pPr>
        <w:adjustRightInd w:val="0"/>
        <w:snapToGrid w:val="0"/>
        <w:spacing w:line="286" w:lineRule="auto"/>
        <w:rPr>
          <w:rFonts w:hint="eastAsia"/>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rPr>
      </w:pPr>
      <w:r>
        <w:rPr>
          <w:rFonts w:hint="eastAsia"/>
          <w:sz w:val="18"/>
          <w:szCs w:val="18"/>
        </w:rPr>
        <w:t>2、定期公告：</w:t>
      </w:r>
    </w:p>
    <w:p>
      <w:pPr>
        <w:adjustRightInd w:val="0"/>
        <w:snapToGrid w:val="0"/>
        <w:spacing w:line="286" w:lineRule="auto"/>
        <w:rPr>
          <w:rFonts w:hint="eastAsia"/>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rFonts w:hint="eastAsia"/>
          <w:sz w:val="18"/>
          <w:szCs w:val="18"/>
        </w:rPr>
      </w:pPr>
      <w:r>
        <w:rPr>
          <w:rFonts w:hint="eastAsia"/>
          <w:sz w:val="18"/>
          <w:szCs w:val="18"/>
        </w:rPr>
        <w:t>3、临时性公告</w:t>
      </w:r>
    </w:p>
    <w:p>
      <w:pPr>
        <w:adjustRightInd w:val="0"/>
        <w:snapToGrid w:val="0"/>
        <w:spacing w:line="286" w:lineRule="auto"/>
        <w:rPr>
          <w:rFonts w:hint="eastAsia"/>
          <w:sz w:val="18"/>
          <w:szCs w:val="18"/>
        </w:rPr>
      </w:pPr>
      <w:r>
        <w:rPr>
          <w:rFonts w:hint="eastAsia"/>
          <w:sz w:val="18"/>
          <w:szCs w:val="18"/>
        </w:rPr>
        <w:t>（1）在本理财产品存续期间，温州银行可以提前1个工作日发布相关信息，对投资范围、投资品种、投资比例、相关费用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rFonts w:hint="eastAsia"/>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rFonts w:hint="eastAsia"/>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6、温州银行将在理财期内在温州银行网站（www.wzbank.cn）对本产品说明书予以公示。产品存续期间，投资者应当登录温州银行网站（www.wzbank.cn）获取与本理财产品相关的信息。</w:t>
      </w:r>
    </w:p>
    <w:p>
      <w:pPr>
        <w:adjustRightInd w:val="0"/>
        <w:snapToGrid w:val="0"/>
        <w:spacing w:line="286" w:lineRule="auto"/>
        <w:rPr>
          <w:rFonts w:hint="eastAsia"/>
          <w:sz w:val="18"/>
          <w:szCs w:val="18"/>
        </w:rPr>
      </w:pPr>
      <w:r>
        <w:rPr>
          <w:rFonts w:hint="eastAsia"/>
          <w:sz w:val="18"/>
          <w:szCs w:val="18"/>
        </w:rPr>
        <w:t>7、理财产品账单：温州银行将在理财期内在温州银行网站（www.wzbank.cn）或温州银行微银行或其他指定渠道，至少按月为投资者提供理财产品账单信息。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rFonts w:hint="eastAsia"/>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开始日实现资金扣划，相应认购（申购）将做失败处理。</w:t>
      </w:r>
    </w:p>
    <w:p>
      <w:pPr>
        <w:adjustRightInd w:val="0"/>
        <w:snapToGrid w:val="0"/>
        <w:spacing w:line="286" w:lineRule="auto"/>
        <w:rPr>
          <w:rFonts w:hint="eastAsia"/>
          <w:sz w:val="18"/>
          <w:szCs w:val="18"/>
        </w:rPr>
      </w:pPr>
      <w:r>
        <w:rPr>
          <w:sz w:val="18"/>
          <w:szCs w:val="18"/>
        </w:rPr>
        <w:t>3</w:t>
      </w:r>
      <w:r>
        <w:rPr>
          <w:rFonts w:hint="eastAsia"/>
          <w:sz w:val="18"/>
          <w:szCs w:val="18"/>
        </w:rPr>
        <w:t>、产品发行规模有限，售完即止。</w:t>
      </w:r>
    </w:p>
    <w:p>
      <w:pPr>
        <w:adjustRightInd w:val="0"/>
        <w:snapToGrid w:val="0"/>
        <w:spacing w:line="286" w:lineRule="auto"/>
        <w:rPr>
          <w:rFonts w:hint="eastAsia"/>
          <w:b/>
          <w:sz w:val="18"/>
          <w:szCs w:val="18"/>
        </w:rPr>
      </w:pPr>
      <w:r>
        <w:rPr>
          <w:rFonts w:hint="eastAsia"/>
          <w:b/>
          <w:sz w:val="18"/>
          <w:szCs w:val="18"/>
        </w:rPr>
        <w:t>法律适用与争议解决</w:t>
      </w:r>
    </w:p>
    <w:p>
      <w:pPr>
        <w:adjustRightInd w:val="0"/>
        <w:snapToGrid w:val="0"/>
        <w:spacing w:line="286" w:lineRule="auto"/>
        <w:rPr>
          <w:rFonts w:hint="eastAsia"/>
          <w:sz w:val="18"/>
          <w:szCs w:val="18"/>
        </w:rPr>
      </w:pPr>
      <w:r>
        <w:rPr>
          <w:rFonts w:hint="eastAsia"/>
          <w:sz w:val="18"/>
          <w:szCs w:val="18"/>
        </w:rPr>
        <w:t>1.法律适用</w:t>
      </w:r>
    </w:p>
    <w:p>
      <w:pPr>
        <w:adjustRightInd w:val="0"/>
        <w:snapToGrid w:val="0"/>
        <w:spacing w:line="286" w:lineRule="auto"/>
        <w:rPr>
          <w:rFonts w:hint="eastAsia"/>
          <w:sz w:val="18"/>
          <w:szCs w:val="18"/>
        </w:rPr>
      </w:pPr>
      <w:r>
        <w:rPr>
          <w:rFonts w:hint="eastAsia"/>
          <w:sz w:val="18"/>
          <w:szCs w:val="18"/>
        </w:rPr>
        <w:t>理财计划合同的订立、生效、履行、修改和终止等事项适用中国内地法律。</w:t>
      </w:r>
    </w:p>
    <w:p>
      <w:pPr>
        <w:adjustRightInd w:val="0"/>
        <w:snapToGrid w:val="0"/>
        <w:spacing w:line="286" w:lineRule="auto"/>
        <w:rPr>
          <w:rFonts w:hint="eastAsia"/>
          <w:sz w:val="18"/>
          <w:szCs w:val="18"/>
        </w:rPr>
      </w:pPr>
      <w:r>
        <w:rPr>
          <w:rFonts w:hint="eastAsia"/>
          <w:sz w:val="18"/>
          <w:szCs w:val="18"/>
        </w:rPr>
        <w:t>2.争议解决</w:t>
      </w:r>
    </w:p>
    <w:p>
      <w:pPr>
        <w:adjustRightInd w:val="0"/>
        <w:snapToGrid w:val="0"/>
        <w:spacing w:line="286" w:lineRule="auto"/>
        <w:rPr>
          <w:rFonts w:hint="eastAsia"/>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盈周”1号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hint="eastAsia"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o8mapEPmtwrMEnhUHAChCzkujX8=" w:salt="SBsmwVeGc0qrSnabaqHE4Q=="/>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E3E46"/>
    <w:rsid w:val="00240B17"/>
    <w:rsid w:val="003839BF"/>
    <w:rsid w:val="004702B4"/>
    <w:rsid w:val="004B149F"/>
    <w:rsid w:val="004D632E"/>
    <w:rsid w:val="004F3D56"/>
    <w:rsid w:val="00561460"/>
    <w:rsid w:val="006070F0"/>
    <w:rsid w:val="00642EFA"/>
    <w:rsid w:val="006C24F6"/>
    <w:rsid w:val="00726556"/>
    <w:rsid w:val="00B0469F"/>
    <w:rsid w:val="00B873B9"/>
    <w:rsid w:val="00BF5F08"/>
    <w:rsid w:val="00C84777"/>
    <w:rsid w:val="00CC30DF"/>
    <w:rsid w:val="00CC5CBF"/>
    <w:rsid w:val="00D911CD"/>
    <w:rsid w:val="00DC7332"/>
    <w:rsid w:val="00E743FE"/>
    <w:rsid w:val="00E817AD"/>
    <w:rsid w:val="00E87E78"/>
    <w:rsid w:val="00F003E0"/>
    <w:rsid w:val="01107283"/>
    <w:rsid w:val="013F1C80"/>
    <w:rsid w:val="014D4226"/>
    <w:rsid w:val="035F5B62"/>
    <w:rsid w:val="056A5112"/>
    <w:rsid w:val="05BE5868"/>
    <w:rsid w:val="098E3976"/>
    <w:rsid w:val="0BA820C6"/>
    <w:rsid w:val="0D80050B"/>
    <w:rsid w:val="0DD2713B"/>
    <w:rsid w:val="0E490064"/>
    <w:rsid w:val="0E4A4F72"/>
    <w:rsid w:val="109C216B"/>
    <w:rsid w:val="11C64501"/>
    <w:rsid w:val="138D0757"/>
    <w:rsid w:val="13E4398C"/>
    <w:rsid w:val="16CA708E"/>
    <w:rsid w:val="16EE7258"/>
    <w:rsid w:val="17892312"/>
    <w:rsid w:val="18797458"/>
    <w:rsid w:val="18D67783"/>
    <w:rsid w:val="1B3E22C5"/>
    <w:rsid w:val="1DC92858"/>
    <w:rsid w:val="1E2622AE"/>
    <w:rsid w:val="230E3B63"/>
    <w:rsid w:val="23EC2A46"/>
    <w:rsid w:val="24845E93"/>
    <w:rsid w:val="25C1363B"/>
    <w:rsid w:val="2AE21E1E"/>
    <w:rsid w:val="2C9367E4"/>
    <w:rsid w:val="2CF84B28"/>
    <w:rsid w:val="2CFF7EE5"/>
    <w:rsid w:val="2D8F5880"/>
    <w:rsid w:val="304709FE"/>
    <w:rsid w:val="30873011"/>
    <w:rsid w:val="32600E2A"/>
    <w:rsid w:val="34582769"/>
    <w:rsid w:val="351A7ABC"/>
    <w:rsid w:val="35635518"/>
    <w:rsid w:val="36D42F75"/>
    <w:rsid w:val="3CA95CCE"/>
    <w:rsid w:val="3CD60CF3"/>
    <w:rsid w:val="3D3D61A4"/>
    <w:rsid w:val="3D6E0AAA"/>
    <w:rsid w:val="40764994"/>
    <w:rsid w:val="43710A36"/>
    <w:rsid w:val="44D7779F"/>
    <w:rsid w:val="493C1AF2"/>
    <w:rsid w:val="4B3A78C8"/>
    <w:rsid w:val="4D1F2F41"/>
    <w:rsid w:val="4E3F1A3D"/>
    <w:rsid w:val="4EC917E6"/>
    <w:rsid w:val="50B31F53"/>
    <w:rsid w:val="52807E6D"/>
    <w:rsid w:val="52F50261"/>
    <w:rsid w:val="542B731D"/>
    <w:rsid w:val="575177BB"/>
    <w:rsid w:val="57BC002D"/>
    <w:rsid w:val="58957134"/>
    <w:rsid w:val="58B403AE"/>
    <w:rsid w:val="58E46088"/>
    <w:rsid w:val="59FD29AB"/>
    <w:rsid w:val="5A8D45D9"/>
    <w:rsid w:val="5C2610B6"/>
    <w:rsid w:val="5CF67827"/>
    <w:rsid w:val="5D2F7B31"/>
    <w:rsid w:val="5D8416F7"/>
    <w:rsid w:val="628B4E13"/>
    <w:rsid w:val="644D2BDF"/>
    <w:rsid w:val="6B5424D8"/>
    <w:rsid w:val="6BEA4E88"/>
    <w:rsid w:val="6D763CAB"/>
    <w:rsid w:val="6F9406F7"/>
    <w:rsid w:val="71AC58D0"/>
    <w:rsid w:val="721944C5"/>
    <w:rsid w:val="75646EFC"/>
    <w:rsid w:val="75EE1A0C"/>
    <w:rsid w:val="7A7957AE"/>
    <w:rsid w:val="7AB61D86"/>
    <w:rsid w:val="7B6E3D14"/>
    <w:rsid w:val="7C1E687B"/>
    <w:rsid w:val="7CB110A9"/>
    <w:rsid w:val="7E046FB3"/>
    <w:rsid w:val="7F560AEA"/>
    <w:rsid w:val="7F744F7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annotation text"/>
    <w:basedOn w:val="1"/>
    <w:uiPriority w:val="0"/>
    <w:pPr>
      <w:jc w:val="left"/>
    </w:pPr>
  </w:style>
  <w:style w:type="paragraph" w:styleId="3">
    <w:name w:val="Balloon Text"/>
    <w:basedOn w:val="1"/>
    <w:link w:val="13"/>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annotation reference"/>
    <w:unhideWhenUsed/>
    <w:qFormat/>
    <w:uiPriority w:val="99"/>
    <w:rPr>
      <w:sz w:val="21"/>
      <w:szCs w:val="21"/>
    </w:rPr>
  </w:style>
  <w:style w:type="paragraph" w:customStyle="1" w:styleId="10">
    <w:name w:val="msonormalcxspmiddle"/>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_Style 11"/>
    <w:unhideWhenUsed/>
    <w:qFormat/>
    <w:uiPriority w:val="99"/>
    <w:rPr>
      <w:rFonts w:ascii="Times New Roman" w:hAnsi="Times New Roman" w:eastAsia="宋体" w:cs="Times New Roman"/>
      <w:kern w:val="2"/>
      <w:sz w:val="21"/>
      <w:lang w:val="en-US" w:eastAsia="zh-CN" w:bidi="ar-SA"/>
    </w:rPr>
  </w:style>
  <w:style w:type="character" w:customStyle="1" w:styleId="13">
    <w:name w:val="批注框文本 字符"/>
    <w:link w:val="3"/>
    <w:qFormat/>
    <w:uiPriority w:val="0"/>
    <w:rPr>
      <w:rFonts w:ascii="Times New Roman" w:hAnsi="Times New Roman"/>
      <w:kern w:val="2"/>
      <w:sz w:val="18"/>
      <w:szCs w:val="18"/>
    </w:rPr>
  </w:style>
  <w:style w:type="character" w:customStyle="1" w:styleId="14">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9</Pages>
  <Words>1956</Words>
  <Characters>11150</Characters>
  <Lines>92</Lines>
  <Paragraphs>26</Paragraphs>
  <TotalTime>5</TotalTime>
  <ScaleCrop>false</ScaleCrop>
  <LinksUpToDate>false</LinksUpToDate>
  <CharactersWithSpaces>13080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应心茹</cp:lastModifiedBy>
  <dcterms:modified xsi:type="dcterms:W3CDTF">2022-08-22T03:27:03Z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