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9" w:lineRule="auto"/>
        <w:ind w:firstLine="420"/>
        <w:rPr>
          <w:rFonts w:ascii="宋体" w:hAnsi="宋体"/>
          <w:szCs w:val="21"/>
        </w:rPr>
      </w:pPr>
      <w:r>
        <w:rPr>
          <w:rFonts w:hint="eastAsia" w:ascii="宋体" w:hAnsi="宋体"/>
          <w:szCs w:val="21"/>
        </w:rPr>
        <w:t>一、</w:t>
      </w:r>
      <w:r>
        <w:rPr>
          <w:rFonts w:hint="eastAsia"/>
          <w:szCs w:val="21"/>
        </w:rPr>
        <w:t>您将</w:t>
      </w:r>
      <w:r>
        <w:rPr>
          <w:rFonts w:hint="eastAsia" w:ascii="宋体" w:hAnsi="宋体"/>
          <w:szCs w:val="21"/>
        </w:rPr>
        <w:t>购买</w:t>
      </w:r>
      <w:r>
        <w:rPr>
          <w:rFonts w:hint="eastAsia"/>
          <w:szCs w:val="21"/>
        </w:rPr>
        <w:t>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pPr>
        <w:adjustRightInd w:val="0"/>
        <w:snapToGrid w:val="0"/>
        <w:spacing w:line="319"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9"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9"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9" w:lineRule="auto"/>
        <w:ind w:firstLine="420"/>
        <w:rPr>
          <w:rFonts w:ascii="宋体" w:hAnsi="宋体"/>
          <w:szCs w:val="21"/>
        </w:rPr>
      </w:pPr>
      <w:r>
        <w:rPr>
          <w:rFonts w:hint="eastAsia" w:ascii="宋体" w:hAnsi="宋体"/>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pPr>
        <w:adjustRightInd w:val="0"/>
        <w:snapToGrid w:val="0"/>
        <w:spacing w:line="319"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2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22" w:lineRule="auto"/>
        <w:rPr>
          <w:b/>
          <w:szCs w:val="21"/>
        </w:rPr>
      </w:pPr>
      <w:r>
        <w:rPr>
          <w:rFonts w:hint="eastAsia"/>
          <w:b/>
          <w:szCs w:val="21"/>
        </w:rPr>
        <w:t>本人经温州银行评估的风险承受能力等级为（客户填写）：</w:t>
      </w:r>
    </w:p>
    <w:p>
      <w:pPr>
        <w:adjustRightInd w:val="0"/>
        <w:snapToGrid w:val="0"/>
        <w:spacing w:line="32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2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22" w:lineRule="auto"/>
        <w:rPr>
          <w:b/>
          <w:szCs w:val="21"/>
        </w:rPr>
      </w:pPr>
      <w:r>
        <w:rPr>
          <w:rFonts w:hint="eastAsia"/>
          <w:b/>
          <w:szCs w:val="21"/>
          <w:u w:val="single"/>
        </w:rPr>
        <w:t xml:space="preserve">                                                                                 </w:t>
      </w:r>
      <w:r>
        <w:rPr>
          <w:rFonts w:hint="eastAsia"/>
          <w:szCs w:val="21"/>
        </w:rPr>
        <w:t>。</w:t>
      </w:r>
    </w:p>
    <w:p>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2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ascii="黑体" w:eastAsia="黑体"/>
          <w:sz w:val="30"/>
          <w:szCs w:val="30"/>
        </w:rPr>
        <w:br w:type="page"/>
      </w: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pPr>
                              <w:jc w:val="center"/>
                            </w:pPr>
                            <w:r>
                              <w:rPr>
                                <w:rFonts w:hint="eastAsia"/>
                              </w:rPr>
                              <w:t>收益水平</w:t>
                            </w:r>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no3szZ&#10;AAAACAEAAA8AAAAAAAAAAQAgAAAAIgAAAGRycy9kb3ducmV2LnhtbFBLAQIUABQAAAAIAIdO4kDX&#10;2aXprQEAADcDAAAOAAAAAAAAAAEAIAAAACgBAABkcnMvZTJvRG9jLnhtbFBLBQYAAAAABgAGAFkB&#10;AABHBQAAAAA=&#10;">
                <v:fill on="t" focussize="0,0"/>
                <v:stroke on="f"/>
                <v:imagedata o:title=""/>
                <o:lock v:ext="edit" aspectratio="f"/>
                <v:textbox style="layout-flow:vertical-ideographic;">
                  <w:txbxContent>
                    <w:p>
                      <w:pPr>
                        <w:jc w:val="center"/>
                      </w:pPr>
                      <w:r>
                        <w:rPr>
                          <w:rFonts w:hint="eastAsia"/>
                        </w:rPr>
                        <w:t>收益水平</w:t>
                      </w:r>
                    </w:p>
                  </w:txbxContent>
                </v:textbox>
              </v:shape>
            </w:pict>
          </mc:Fallback>
        </mc:AlternateContent>
      </w:r>
      <w:r>
        <w:rPr>
          <w:b/>
          <w:sz w:val="18"/>
          <w:szCs w:val="18"/>
        </w:rPr>
        <mc:AlternateContent>
          <mc:Choice Requires="wpg">
            <w:drawing>
              <wp:inline distT="0" distB="0" distL="0" distR="0">
                <wp:extent cx="3929380" cy="1896110"/>
                <wp:effectExtent l="0" t="22225" r="0" b="0"/>
                <wp:docPr id="1" name="组合 11"/>
                <wp:cNvGraphicFramePr/>
                <a:graphic xmlns:a="http://schemas.openxmlformats.org/drawingml/2006/main">
                  <a:graphicData uri="http://schemas.microsoft.com/office/word/2010/wordprocessingGroup">
                    <wpg:wgp>
                      <wpg:cNvGrpSpPr/>
                      <wpg:grpSpPr>
                        <a:xfrm>
                          <a:off x="0" y="0"/>
                          <a:ext cx="3929380" cy="1896110"/>
                          <a:chOff x="0" y="0"/>
                          <a:chExt cx="6188" cy="2986"/>
                        </a:xfrm>
                      </wpg:grpSpPr>
                      <wps:wsp>
                        <wps:cNvPr id="2" name="矩形 2"/>
                        <wps:cNvSpPr>
                          <a:spLocks noChangeAspect="1" noChangeArrowheads="1" noTextEdit="1"/>
                        </wps:cNvSpPr>
                        <wps:spPr bwMode="auto">
                          <a:xfrm>
                            <a:off x="0" y="0"/>
                            <a:ext cx="6188" cy="2986"/>
                          </a:xfrm>
                          <a:prstGeom prst="rect">
                            <a:avLst/>
                          </a:prstGeom>
                          <a:noFill/>
                          <a:ln>
                            <a:noFill/>
                          </a:ln>
                        </wps:spPr>
                        <wps:bodyPr rot="0" vert="horz" wrap="square" lIns="91440" tIns="45720" rIns="91440" bIns="45720" anchor="t" anchorCtr="0" upright="1">
                          <a:noAutofit/>
                        </wps:bodyPr>
                      </wps:wsp>
                      <wps:wsp>
                        <wps:cNvPr id="3" name="直接连接符 3"/>
                        <wps:cNvCnPr>
                          <a:cxnSpLocks noChangeShapeType="1"/>
                        </wps:cNvCnPr>
                        <wps:spPr bwMode="auto">
                          <a:xfrm>
                            <a:off x="254" y="2561"/>
                            <a:ext cx="5454" cy="1"/>
                          </a:xfrm>
                          <a:prstGeom prst="line">
                            <a:avLst/>
                          </a:prstGeom>
                          <a:noFill/>
                          <a:ln w="9525">
                            <a:solidFill>
                              <a:srgbClr val="000000"/>
                            </a:solidFill>
                            <a:round/>
                            <a:tailEnd type="triangle" w="med" len="med"/>
                          </a:ln>
                        </wps:spPr>
                        <wps:bodyPr/>
                      </wps:wsp>
                      <wps:wsp>
                        <wps:cNvPr id="4" name="直接连接符 4"/>
                        <wps:cNvCnPr>
                          <a:cxnSpLocks noChangeShapeType="1"/>
                        </wps:cNvCnPr>
                        <wps:spPr bwMode="auto">
                          <a:xfrm flipV="1">
                            <a:off x="614" y="0"/>
                            <a:ext cx="1" cy="2935"/>
                          </a:xfrm>
                          <a:prstGeom prst="line">
                            <a:avLst/>
                          </a:prstGeom>
                          <a:noFill/>
                          <a:ln w="9525">
                            <a:solidFill>
                              <a:srgbClr val="000000"/>
                            </a:solidFill>
                            <a:round/>
                            <a:tailEnd type="triangle" w="med" len="med"/>
                          </a:ln>
                        </wps:spPr>
                        <wps:bodyPr/>
                      </wps:wsp>
                      <wps:wsp>
                        <wps:cNvPr id="5" name="矩形 5"/>
                        <wps:cNvSpPr>
                          <a:spLocks noChangeArrowheads="1"/>
                        </wps:cNvSpPr>
                        <wps:spPr bwMode="auto">
                          <a:xfrm>
                            <a:off x="793" y="1937"/>
                            <a:ext cx="803"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6" name="矩形 6"/>
                        <wps:cNvSpPr>
                          <a:spLocks noChangeArrowheads="1"/>
                        </wps:cNvSpPr>
                        <wps:spPr bwMode="auto">
                          <a:xfrm>
                            <a:off x="1605" y="1469"/>
                            <a:ext cx="808" cy="468"/>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7" name="矩形 7"/>
                        <wps:cNvSpPr>
                          <a:spLocks noChangeArrowheads="1"/>
                        </wps:cNvSpPr>
                        <wps:spPr bwMode="auto">
                          <a:xfrm>
                            <a:off x="2415" y="1001"/>
                            <a:ext cx="815"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8" name="矩形 8"/>
                        <wps:cNvSpPr>
                          <a:spLocks noChangeArrowheads="1"/>
                        </wps:cNvSpPr>
                        <wps:spPr bwMode="auto">
                          <a:xfrm>
                            <a:off x="3225" y="533"/>
                            <a:ext cx="823"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9" name="矩形 9"/>
                        <wps:cNvSpPr>
                          <a:spLocks noChangeArrowheads="1"/>
                        </wps:cNvSpPr>
                        <wps:spPr bwMode="auto">
                          <a:xfrm>
                            <a:off x="4048" y="65"/>
                            <a:ext cx="841"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10" name="矩形 10"/>
                        <wps:cNvSpPr>
                          <a:spLocks noChangeArrowheads="1"/>
                        </wps:cNvSpPr>
                        <wps:spPr bwMode="auto">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g:wgp>
                  </a:graphicData>
                </a:graphic>
              </wp:inline>
            </w:drawing>
          </mc:Choice>
          <mc:Fallback>
            <w:pict>
              <v:group id="组合 11"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">
                <o:lock v:ext="edi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3.</w:t>
            </w:r>
            <w:r>
              <w:rPr>
                <w:rFonts w:hint="eastAsia" w:cs="Times New Roman"/>
                <w:sz w:val="18"/>
                <w:szCs w:val="18"/>
                <w:lang w:val="en-US" w:eastAsia="zh-CN"/>
              </w:rPr>
              <w:t>15</w:t>
            </w:r>
            <w:r>
              <w:rPr>
                <w:rFonts w:hint="eastAsia" w:cs="Times New Roman"/>
                <w:sz w:val="18"/>
                <w:szCs w:val="18"/>
              </w:rPr>
              <w:t>%（年化）</w:t>
            </w:r>
          </w:p>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ascii="宋体" w:hAnsi="宋体"/>
                <w:kern w:val="0"/>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b/>
                <w:sz w:val="18"/>
                <w:szCs w:val="18"/>
              </w:rPr>
            </w:pPr>
            <w:r>
              <w:rPr>
                <w:rFonts w:hint="eastAsia" w:cs="Times New Roman"/>
                <w:b/>
                <w:sz w:val="18"/>
                <w:szCs w:val="18"/>
              </w:rPr>
              <w:t>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b/>
                <w:sz w:val="18"/>
                <w:szCs w:val="18"/>
              </w:rPr>
            </w:pPr>
            <w:r>
              <w:rPr>
                <w:rFonts w:hint="eastAsia" w:cs="Times New Roman"/>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股票、股票型基金、证券投资基金等</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日结束后2日内，披露本理财产品在开放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 xml:space="preserve">1、债券的估值方法 </w:t>
      </w:r>
    </w:p>
    <w:p>
      <w:pPr>
        <w:adjustRightInd w:val="0"/>
        <w:snapToGrid w:val="0"/>
        <w:spacing w:line="286" w:lineRule="auto"/>
        <w:rPr>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sz w:val="18"/>
          <w:szCs w:val="18"/>
        </w:rPr>
      </w:pPr>
      <w:r>
        <w:rPr>
          <w:rFonts w:hint="eastAsia"/>
          <w:sz w:val="18"/>
          <w:szCs w:val="18"/>
        </w:rPr>
        <w:t>（2）以交易为目的持有的债券按市价法估值。</w:t>
      </w:r>
    </w:p>
    <w:p>
      <w:pPr>
        <w:adjustRightInd w:val="0"/>
        <w:snapToGrid w:val="0"/>
        <w:spacing w:line="286" w:lineRule="auto"/>
        <w:rPr>
          <w:sz w:val="18"/>
          <w:szCs w:val="18"/>
        </w:rPr>
      </w:pPr>
      <w:r>
        <w:rPr>
          <w:rFonts w:hint="eastAsia"/>
          <w:sz w:val="18"/>
          <w:szCs w:val="18"/>
        </w:rPr>
        <w:t xml:space="preserve">2、货币市场金融工具的估值方法 </w:t>
      </w:r>
    </w:p>
    <w:p>
      <w:pPr>
        <w:adjustRightInd w:val="0"/>
        <w:snapToGrid w:val="0"/>
        <w:spacing w:line="286" w:lineRule="auto"/>
        <w:rPr>
          <w:sz w:val="18"/>
          <w:szCs w:val="18"/>
        </w:rPr>
      </w:pPr>
      <w:r>
        <w:rPr>
          <w:rFonts w:hint="eastAsia"/>
          <w:sz w:val="18"/>
          <w:szCs w:val="18"/>
        </w:rPr>
        <w:t>（1）银行存款类资产以本金列示、逐日计提利息；</w:t>
      </w:r>
    </w:p>
    <w:p>
      <w:pPr>
        <w:adjustRightInd w:val="0"/>
        <w:snapToGrid w:val="0"/>
        <w:spacing w:line="286" w:lineRule="auto"/>
        <w:rPr>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sz w:val="18"/>
          <w:szCs w:val="18"/>
        </w:rPr>
      </w:pPr>
      <w:r>
        <w:rPr>
          <w:rFonts w:hint="eastAsia"/>
          <w:sz w:val="18"/>
          <w:szCs w:val="18"/>
        </w:rPr>
        <w:t xml:space="preserve">3、其他资产的估值方法 </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 xml:space="preserve">4、其他 </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份额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sz w:val="18"/>
          <w:szCs w:val="18"/>
        </w:rPr>
      </w:pPr>
      <w:r>
        <w:rPr>
          <w:rFonts w:hint="eastAsia"/>
          <w:sz w:val="18"/>
          <w:szCs w:val="18"/>
        </w:rPr>
        <w:t>H＝E×0.5%÷365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b/>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10、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6、温州银行将在理财期内在温州银行网站（www.wzbank.cn）对本产品说明书予以公示。产品存续期间，投资者应当登录温州银行网站（www.wzbank.cn）获取与本理财产品相关的信息。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7、理财产品账单：温州银行将在理财期内在温州银行网站（www.wzbank.cn）或温州银行微银行或其他指定渠道，至少按月为投资者提供理财产品账单信息。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p>
    <w:p>
      <w:pPr>
        <w:adjustRightInd w:val="0"/>
        <w:snapToGrid w:val="0"/>
        <w:spacing w:line="286" w:lineRule="auto"/>
        <w:rPr>
          <w:b/>
          <w:sz w:val="18"/>
          <w:szCs w:val="18"/>
        </w:rPr>
      </w:pPr>
      <w:r>
        <w:rPr>
          <w:rFonts w:hint="eastAsia"/>
          <w:b/>
          <w:sz w:val="18"/>
          <w:szCs w:val="18"/>
        </w:rPr>
        <w:t>产品购买</w:t>
      </w:r>
    </w:p>
    <w:p>
      <w:pPr>
        <w:adjustRightInd w:val="0"/>
        <w:snapToGrid w:val="0"/>
        <w:spacing w:line="286" w:lineRule="auto"/>
        <w:rPr>
          <w:sz w:val="18"/>
          <w:szCs w:val="18"/>
        </w:rPr>
      </w:pPr>
      <w:r>
        <w:rPr>
          <w:sz w:val="18"/>
          <w:szCs w:val="18"/>
        </w:rPr>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rddAkV3hwBxGYPl74wAd86klSU=" w:salt="FNNgoIpecUvr/m8bK78/I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540C3"/>
    <w:rsid w:val="00562CD5"/>
    <w:rsid w:val="00565D6D"/>
    <w:rsid w:val="0056627C"/>
    <w:rsid w:val="005732A5"/>
    <w:rsid w:val="00583A42"/>
    <w:rsid w:val="00597BFA"/>
    <w:rsid w:val="005C6273"/>
    <w:rsid w:val="005D00A7"/>
    <w:rsid w:val="005D726E"/>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0ACB"/>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7F4F6C"/>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26175"/>
    <w:rsid w:val="00B3434D"/>
    <w:rsid w:val="00B40100"/>
    <w:rsid w:val="00B54322"/>
    <w:rsid w:val="00B60E76"/>
    <w:rsid w:val="00B67075"/>
    <w:rsid w:val="00B713E7"/>
    <w:rsid w:val="00B9709A"/>
    <w:rsid w:val="00BA37F7"/>
    <w:rsid w:val="00BB0288"/>
    <w:rsid w:val="00BB3ECD"/>
    <w:rsid w:val="00BD5D3E"/>
    <w:rsid w:val="00BE6B59"/>
    <w:rsid w:val="00BF2243"/>
    <w:rsid w:val="00BF4706"/>
    <w:rsid w:val="00C027A1"/>
    <w:rsid w:val="00C03715"/>
    <w:rsid w:val="00C0532A"/>
    <w:rsid w:val="00C059F8"/>
    <w:rsid w:val="00C1082B"/>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83C09"/>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3E16"/>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214671A4"/>
    <w:rsid w:val="3EF073D8"/>
    <w:rsid w:val="556157D6"/>
    <w:rsid w:val="593E55DD"/>
    <w:rsid w:val="627A4316"/>
    <w:rsid w:val="752C4A25"/>
    <w:rsid w:val="76811B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uiPriority w:val="99"/>
    <w:rPr>
      <w:sz w:val="24"/>
    </w:rPr>
  </w:style>
  <w:style w:type="paragraph" w:styleId="7">
    <w:name w:val="annotation subject"/>
    <w:basedOn w:val="2"/>
    <w:next w:val="2"/>
    <w:link w:val="18"/>
    <w:semiHidden/>
    <w:unhideWhenUsed/>
    <w:uiPriority w:val="99"/>
    <w:rPr>
      <w:b/>
      <w:bCs/>
    </w:rPr>
  </w:style>
  <w:style w:type="character" w:styleId="10">
    <w:name w:val="annotation reference"/>
    <w:semiHidden/>
    <w:unhideWhenUsed/>
    <w:uiPriority w:val="99"/>
    <w:rPr>
      <w:sz w:val="21"/>
      <w:szCs w:val="21"/>
    </w:rPr>
  </w:style>
  <w:style w:type="paragraph" w:customStyle="1" w:styleId="11">
    <w:name w:val="msonormalcxspmiddle"/>
    <w:basedOn w:val="1"/>
    <w:qFormat/>
    <w:uiPriority w:val="0"/>
    <w:pPr>
      <w:widowControl/>
      <w:spacing w:beforeAutospacing="1"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4">
    <w:name w:val="页眉 字符"/>
    <w:link w:val="5"/>
    <w:semiHidden/>
    <w:qFormat/>
    <w:uiPriority w:val="99"/>
    <w:rPr>
      <w:sz w:val="18"/>
      <w:szCs w:val="18"/>
    </w:rPr>
  </w:style>
  <w:style w:type="character" w:customStyle="1" w:styleId="15">
    <w:name w:val="页脚 字符"/>
    <w:link w:val="4"/>
    <w:qFormat/>
    <w:uiPriority w:val="99"/>
    <w:rPr>
      <w:sz w:val="18"/>
      <w:szCs w:val="18"/>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文字 字符"/>
    <w:link w:val="2"/>
    <w:semiHidden/>
    <w:qFormat/>
    <w:uiPriority w:val="99"/>
    <w:rPr>
      <w:rFonts w:ascii="Times New Roman" w:hAnsi="Times New Roman"/>
      <w:kern w:val="2"/>
      <w:sz w:val="21"/>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1944</Words>
  <Characters>11083</Characters>
  <Lines>92</Lines>
  <Paragraphs>26</Paragraphs>
  <TotalTime>1</TotalTime>
  <ScaleCrop>false</ScaleCrop>
  <LinksUpToDate>false</LinksUpToDate>
  <CharactersWithSpaces>13001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2022-05-12T01:20:00Z</dcterms:created>
  <dc:creator>陈浩01</dc:creator>
  <cp:lastModifiedBy>应心茹</cp:lastModifiedBy>
  <cp:lastPrinted>2020-08-27T02:08:00Z</cp:lastPrinted>
  <dcterms:modified xsi:type="dcterms:W3CDTF">2022-06-15T00:39:49Z</dcterms:modified>
  <dc:title>温州银行“金鹿理财-温盈”1号银行理财计划风险揭示书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