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szCs w:val="21"/>
          <w:lang w:eastAsia="zh-CN"/>
        </w:rPr>
        <w:t>、</w:t>
      </w:r>
      <w:r>
        <w:rPr>
          <w:rFonts w:hint="eastAsia" w:ascii="宋体" w:hAnsi="宋体"/>
          <w:szCs w:val="21"/>
          <w:lang w:val="en-US" w:eastAsia="zh-CN"/>
        </w:rPr>
        <w:t>机构投资者</w:t>
      </w:r>
      <w:r>
        <w:rPr>
          <w:rFonts w:hint="eastAsia" w:ascii="宋体" w:hAnsi="宋体"/>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6N7M2QAAAAgBAAAPAAAAAAAAAAEAIAAAACIAAABkcnMvZG93bnJldi54bWxQSwECFAAUAAAACACH&#10;TuJAmVu7d7EBAABFAwAADgAAAAAAAAABACAAAAAoAQAAZHJzL2Uyb0RvYy54bWxQSwUGAAAAAAYA&#10;BgBZAQAAS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&#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C1092220000402</w:t>
            </w:r>
          </w:p>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千元的整数倍。单户累计最大购买金额1000万元。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3.</w:t>
            </w:r>
            <w:r>
              <w:rPr>
                <w:rFonts w:hint="eastAsia" w:cs="Times New Roman"/>
                <w:sz w:val="18"/>
                <w:szCs w:val="18"/>
                <w:lang w:val="en-US" w:eastAsia="zh-CN"/>
              </w:rPr>
              <w:t>05</w:t>
            </w:r>
            <w:r>
              <w:rPr>
                <w:rFonts w:hint="eastAsia" w:cs="Times New Roman"/>
                <w:sz w:val="18"/>
                <w:szCs w:val="18"/>
              </w:rPr>
              <w:t>%（年化）</w:t>
            </w:r>
          </w:p>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yellow"/>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进行相关信息披露。理财本金在理财开始日前交存于温州银行的，按当时实行的活期利率计息。赎回清算日到理财资金返还到账日为还本清算期，还本清算期内不计付利息和收益。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w:t>
      </w:r>
      <w:r>
        <w:rPr>
          <w:rFonts w:hint="eastAsia"/>
          <w:sz w:val="18"/>
          <w:szCs w:val="18"/>
          <w:lang w:val="en-US" w:eastAsia="zh-CN"/>
        </w:rPr>
        <w:t>债券回购、</w:t>
      </w:r>
      <w:r>
        <w:rPr>
          <w:rFonts w:hint="eastAsia"/>
          <w:sz w:val="18"/>
          <w:szCs w:val="18"/>
        </w:rPr>
        <w:t>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val="en-US" w:eastAsia="zh-CN"/>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其他符合监管要求的固定收益类类资产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日结束后2日内，披露本理财产品在开放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 xml:space="preserve">1、债券的估值方法 </w:t>
      </w:r>
    </w:p>
    <w:p>
      <w:pPr>
        <w:adjustRightInd w:val="0"/>
        <w:snapToGrid w:val="0"/>
        <w:spacing w:line="286" w:lineRule="auto"/>
        <w:rPr>
          <w:rFonts w:hint="eastAsia"/>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rFonts w:hint="eastAsia"/>
          <w:sz w:val="18"/>
          <w:szCs w:val="18"/>
        </w:rPr>
      </w:pPr>
      <w:r>
        <w:rPr>
          <w:rFonts w:hint="eastAsia"/>
          <w:sz w:val="18"/>
          <w:szCs w:val="18"/>
        </w:rPr>
        <w:t>（2）以交易为目的持有的债券按市价法估值。</w:t>
      </w:r>
    </w:p>
    <w:p>
      <w:pPr>
        <w:adjustRightInd w:val="0"/>
        <w:snapToGrid w:val="0"/>
        <w:spacing w:line="286" w:lineRule="auto"/>
        <w:rPr>
          <w:rFonts w:hint="eastAsia"/>
          <w:sz w:val="18"/>
          <w:szCs w:val="18"/>
        </w:rPr>
      </w:pPr>
      <w:r>
        <w:rPr>
          <w:rFonts w:hint="eastAsia"/>
          <w:sz w:val="18"/>
          <w:szCs w:val="18"/>
        </w:rPr>
        <w:t xml:space="preserve">2、货币市场金融工具的估值方法 </w:t>
      </w:r>
    </w:p>
    <w:p>
      <w:pPr>
        <w:adjustRightInd w:val="0"/>
        <w:snapToGrid w:val="0"/>
        <w:spacing w:line="286" w:lineRule="auto"/>
        <w:rPr>
          <w:rFonts w:hint="eastAsia"/>
          <w:sz w:val="18"/>
          <w:szCs w:val="18"/>
        </w:rPr>
      </w:pPr>
      <w:r>
        <w:rPr>
          <w:rFonts w:hint="eastAsia"/>
          <w:sz w:val="18"/>
          <w:szCs w:val="18"/>
        </w:rPr>
        <w:t>（1）银行存款类资产以本金列示、逐日计提利息；</w:t>
      </w:r>
    </w:p>
    <w:p>
      <w:pPr>
        <w:adjustRightInd w:val="0"/>
        <w:snapToGrid w:val="0"/>
        <w:spacing w:line="286" w:lineRule="auto"/>
        <w:rPr>
          <w:rFonts w:hint="eastAsia"/>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rFonts w:hint="eastAsia"/>
          <w:sz w:val="18"/>
          <w:szCs w:val="18"/>
        </w:rPr>
      </w:pPr>
      <w:r>
        <w:rPr>
          <w:rFonts w:hint="eastAsia"/>
          <w:sz w:val="18"/>
          <w:szCs w:val="18"/>
        </w:rPr>
        <w:t xml:space="preserve">3、其他资产的估值方法 </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 xml:space="preserve">4、其他 </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rFonts w:hint="eastAsia"/>
          <w:color w:val="000000"/>
          <w:sz w:val="18"/>
        </w:rPr>
      </w:pPr>
      <w:r>
        <w:rPr>
          <w:rFonts w:hint="eastAsia"/>
          <w:color w:val="000000"/>
          <w:sz w:val="18"/>
        </w:rPr>
        <w:t>（1）本理财产品余额连续20个工作日低于1亿份；</w:t>
      </w:r>
    </w:p>
    <w:p>
      <w:pPr>
        <w:adjustRightInd w:val="0"/>
        <w:snapToGrid w:val="0"/>
        <w:spacing w:line="286" w:lineRule="auto"/>
        <w:rPr>
          <w:rFonts w:hint="eastAsia"/>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rFonts w:hint="eastAsia"/>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rFonts w:hint="eastAsia"/>
          <w:sz w:val="18"/>
          <w:szCs w:val="18"/>
        </w:rPr>
      </w:pPr>
      <w:r>
        <w:rPr>
          <w:rFonts w:hint="eastAsia"/>
          <w:sz w:val="18"/>
          <w:szCs w:val="18"/>
        </w:rPr>
        <w:t>H＝E×0.5%÷365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w:t>
      </w:r>
      <w:r>
        <w:rPr>
          <w:rFonts w:hint="eastAsia"/>
          <w:b/>
          <w:bCs/>
          <w:sz w:val="18"/>
          <w:szCs w:val="18"/>
          <w:u w:val="single"/>
        </w:rPr>
        <w:t>本理财计划在非产品工作日内投资者不得提前赎回</w:t>
      </w:r>
      <w:r>
        <w:rPr>
          <w:rFonts w:hint="eastAsia"/>
          <w:b/>
          <w:bCs/>
          <w:sz w:val="18"/>
          <w:szCs w:val="18"/>
        </w:rPr>
        <w:t>。</w:t>
      </w:r>
      <w:r>
        <w:rPr>
          <w:rFonts w:hint="eastAsia"/>
          <w:sz w:val="18"/>
          <w:szCs w:val="18"/>
        </w:rPr>
        <w:t>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w:t>
      </w:r>
      <w:r>
        <w:rPr>
          <w:rFonts w:hint="eastAsia"/>
          <w:sz w:val="18"/>
          <w:szCs w:val="18"/>
          <w:lang w:val="en-US" w:eastAsia="zh-CN"/>
        </w:rPr>
        <w:t>1</w:t>
      </w:r>
      <w:r>
        <w:rPr>
          <w:rFonts w:hint="eastAsia"/>
          <w:sz w:val="18"/>
          <w:szCs w:val="18"/>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6、温州银行将在理财期内在温州银行网站（www.wzbank.cn）对本产品说明书予以公示。产品存续期间，投资者应当登录温州银行网站（www.wzbank.cn）获取与本理财产品相关的信息。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7、理财产品账单：温州银行将在理财期内在温州银行网站（www.wzbank.cn）或温州银行微银行或其他指定渠道，至少按月为投资者提供理财产品账单信息。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开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C5uX5to69SmxKegL8F4QZEG1HaI=" w:salt="MPt5D0NAjykQi3F8Qjfo7w=="/>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E3E46"/>
    <w:rsid w:val="00240B17"/>
    <w:rsid w:val="003839BF"/>
    <w:rsid w:val="004702B4"/>
    <w:rsid w:val="004B149F"/>
    <w:rsid w:val="004D632E"/>
    <w:rsid w:val="004F3D56"/>
    <w:rsid w:val="00561460"/>
    <w:rsid w:val="006070F0"/>
    <w:rsid w:val="00642EFA"/>
    <w:rsid w:val="006C24F6"/>
    <w:rsid w:val="00726556"/>
    <w:rsid w:val="00B0469F"/>
    <w:rsid w:val="00B873B9"/>
    <w:rsid w:val="00BF5F08"/>
    <w:rsid w:val="00C84777"/>
    <w:rsid w:val="00CC30DF"/>
    <w:rsid w:val="00CC5CBF"/>
    <w:rsid w:val="00D911CD"/>
    <w:rsid w:val="00DC7332"/>
    <w:rsid w:val="00E743FE"/>
    <w:rsid w:val="00E817AD"/>
    <w:rsid w:val="00E87E78"/>
    <w:rsid w:val="00F003E0"/>
    <w:rsid w:val="01107283"/>
    <w:rsid w:val="013F1C80"/>
    <w:rsid w:val="035F5B62"/>
    <w:rsid w:val="056A5112"/>
    <w:rsid w:val="05BE5868"/>
    <w:rsid w:val="098E3976"/>
    <w:rsid w:val="0BA820C6"/>
    <w:rsid w:val="0D80050B"/>
    <w:rsid w:val="0DD2713B"/>
    <w:rsid w:val="0E490064"/>
    <w:rsid w:val="0E4A4F72"/>
    <w:rsid w:val="109C216B"/>
    <w:rsid w:val="11C64501"/>
    <w:rsid w:val="138D0757"/>
    <w:rsid w:val="13E4398C"/>
    <w:rsid w:val="16CA708E"/>
    <w:rsid w:val="16EE7258"/>
    <w:rsid w:val="17892312"/>
    <w:rsid w:val="18797458"/>
    <w:rsid w:val="18D67783"/>
    <w:rsid w:val="1B3E22C5"/>
    <w:rsid w:val="1DC92858"/>
    <w:rsid w:val="1E2622AE"/>
    <w:rsid w:val="230E3B63"/>
    <w:rsid w:val="23EC2A46"/>
    <w:rsid w:val="24845E93"/>
    <w:rsid w:val="25C1363B"/>
    <w:rsid w:val="2AE21E1E"/>
    <w:rsid w:val="2C9367E4"/>
    <w:rsid w:val="2CF84B28"/>
    <w:rsid w:val="2CFF7EE5"/>
    <w:rsid w:val="2D8F5880"/>
    <w:rsid w:val="304709FE"/>
    <w:rsid w:val="30873011"/>
    <w:rsid w:val="32600E2A"/>
    <w:rsid w:val="34582769"/>
    <w:rsid w:val="351A7ABC"/>
    <w:rsid w:val="35635518"/>
    <w:rsid w:val="36D42F75"/>
    <w:rsid w:val="3CA95CCE"/>
    <w:rsid w:val="3CD60CF3"/>
    <w:rsid w:val="3D3D61A4"/>
    <w:rsid w:val="3D6E0AAA"/>
    <w:rsid w:val="40764994"/>
    <w:rsid w:val="43710A36"/>
    <w:rsid w:val="44D7779F"/>
    <w:rsid w:val="493C1AF2"/>
    <w:rsid w:val="4B3A78C8"/>
    <w:rsid w:val="4D1F2F41"/>
    <w:rsid w:val="4E3F1A3D"/>
    <w:rsid w:val="4EC917E6"/>
    <w:rsid w:val="50B31F53"/>
    <w:rsid w:val="52807E6D"/>
    <w:rsid w:val="52F50261"/>
    <w:rsid w:val="542B731D"/>
    <w:rsid w:val="575177BB"/>
    <w:rsid w:val="57BC002D"/>
    <w:rsid w:val="58957134"/>
    <w:rsid w:val="58B403AE"/>
    <w:rsid w:val="58E46088"/>
    <w:rsid w:val="59FD29AB"/>
    <w:rsid w:val="5A8D45D9"/>
    <w:rsid w:val="5B991F2D"/>
    <w:rsid w:val="5C2610B6"/>
    <w:rsid w:val="5CF67827"/>
    <w:rsid w:val="5D2F7B31"/>
    <w:rsid w:val="5D8416F7"/>
    <w:rsid w:val="628B4E13"/>
    <w:rsid w:val="644D2BDF"/>
    <w:rsid w:val="6B5424D8"/>
    <w:rsid w:val="6BEA4E88"/>
    <w:rsid w:val="6D763CAB"/>
    <w:rsid w:val="6F9406F7"/>
    <w:rsid w:val="71AC58D0"/>
    <w:rsid w:val="721944C5"/>
    <w:rsid w:val="75646EFC"/>
    <w:rsid w:val="75EE1A0C"/>
    <w:rsid w:val="7A7957AE"/>
    <w:rsid w:val="7AB61D86"/>
    <w:rsid w:val="7B6E3D14"/>
    <w:rsid w:val="7CB110A9"/>
    <w:rsid w:val="7E046FB3"/>
    <w:rsid w:val="7F560AEA"/>
    <w:rsid w:val="7F744F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uiPriority w:val="0"/>
    <w:pPr>
      <w:jc w:val="left"/>
    </w:pPr>
  </w:style>
  <w:style w:type="paragraph" w:styleId="3">
    <w:name w:val="Balloon Text"/>
    <w:basedOn w:val="1"/>
    <w:link w:val="13"/>
    <w:uiPriority w:val="0"/>
    <w:rPr>
      <w:sz w:val="18"/>
      <w:szCs w:val="18"/>
    </w:rPr>
  </w:style>
  <w:style w:type="paragraph" w:styleId="4">
    <w:name w:val="footer"/>
    <w:basedOn w:val="1"/>
    <w:unhideWhenUsed/>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rPr>
      <w:sz w:val="24"/>
    </w:rPr>
  </w:style>
  <w:style w:type="character" w:styleId="9">
    <w:name w:val="annotation reference"/>
    <w:unhideWhenUsed/>
    <w:uiPriority w:val="99"/>
    <w:rPr>
      <w:sz w:val="21"/>
      <w:szCs w:val="21"/>
    </w:rPr>
  </w:style>
  <w:style w:type="paragraph" w:customStyle="1" w:styleId="10">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uiPriority w:val="99"/>
    <w:rPr>
      <w:rFonts w:ascii="Times New Roman" w:hAnsi="Times New Roman" w:eastAsia="宋体" w:cs="Times New Roman"/>
      <w:kern w:val="2"/>
      <w:sz w:val="21"/>
      <w:lang w:val="en-US" w:eastAsia="zh-CN" w:bidi="ar-SA"/>
    </w:rPr>
  </w:style>
  <w:style w:type="character" w:customStyle="1" w:styleId="13">
    <w:name w:val="批注框文本 字符"/>
    <w:link w:val="3"/>
    <w:uiPriority w:val="0"/>
    <w:rPr>
      <w:rFonts w:ascii="Times New Roman" w:hAnsi="Times New Roman"/>
      <w:kern w:val="2"/>
      <w:sz w:val="18"/>
      <w:szCs w:val="18"/>
    </w:rPr>
  </w:style>
  <w:style w:type="character" w:customStyle="1" w:styleId="14">
    <w:name w:val="页眉 字符"/>
    <w:link w:val="5"/>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1956</Words>
  <Characters>11150</Characters>
  <Lines>92</Lines>
  <Paragraphs>26</Paragraphs>
  <TotalTime>6</TotalTime>
  <ScaleCrop>false</ScaleCrop>
  <LinksUpToDate>false</LinksUpToDate>
  <CharactersWithSpaces>13080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2022-08-05T08:18:23Z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