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szCs w:val="21"/>
          <w:lang w:eastAsia="zh-CN"/>
        </w:rPr>
        <w:t>、</w:t>
      </w:r>
      <w:r>
        <w:rPr>
          <w:rFonts w:hint="eastAsia" w:ascii="宋体" w:hAnsi="宋体"/>
          <w:szCs w:val="21"/>
          <w:lang w:val="en-US" w:eastAsia="zh-CN"/>
        </w:rPr>
        <w:t>机构投资者</w:t>
      </w:r>
      <w:r>
        <w:rPr>
          <w:rFonts w:hint="eastAsia" w:ascii="宋体" w:hAnsi="宋体"/>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6N7M2QAAAAgBAAAPAAAAAAAAAAEAIAAAACIAAABkcnMvZG93bnJldi54bWxQSwECFAAUAAAACACH&#10;TuJAmVu7d7EBAABFAwAADgAAAAAAAAABACAAAAAoAQAAZHJzL2Uyb0RvYy54bWxQSwUGAAAAAAYA&#10;BgBZAQAAS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&#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C1092220000402</w:t>
            </w:r>
          </w:p>
          <w:p>
            <w:pPr>
              <w:pStyle w:val="1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w:t>
            </w:r>
            <w:r>
              <w:rPr>
                <w:rFonts w:hint="eastAsia" w:ascii="宋体" w:hAnsi="宋体"/>
                <w:sz w:val="18"/>
                <w:lang w:val="en-US" w:eastAsia="zh-CN"/>
              </w:rPr>
              <w:t>5</w:t>
            </w:r>
            <w:r>
              <w:rPr>
                <w:rFonts w:hint="eastAsia" w:ascii="宋体" w:hAnsi="宋体"/>
                <w:sz w:val="18"/>
              </w:rPr>
              <w:t>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2.1%-2.7</w:t>
            </w:r>
            <w:bookmarkStart w:id="0" w:name="_GoBack"/>
            <w:bookmarkEnd w:id="0"/>
            <w:r>
              <w:rPr>
                <w:rFonts w:hint="eastAsia" w:cs="Times New Roman"/>
                <w:sz w:val="18"/>
                <w:szCs w:val="18"/>
                <w:lang w:val="en-US" w:eastAsia="zh-CN"/>
              </w:rPr>
              <w:t>%</w:t>
            </w:r>
            <w:r>
              <w:rPr>
                <w:rFonts w:hint="eastAsia" w:cs="Times New Roman"/>
                <w:sz w:val="18"/>
                <w:szCs w:val="18"/>
              </w:rPr>
              <w:t>（年化）</w:t>
            </w:r>
          </w:p>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0.5%（年化）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cs="Times New Roman"/>
                <w:sz w:val="18"/>
                <w:szCs w:val="18"/>
                <w:highlight w:val="yellow"/>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w:t>
            </w:r>
            <w:r>
              <w:rPr>
                <w:rFonts w:hint="eastAsia"/>
                <w:sz w:val="18"/>
                <w:szCs w:val="18"/>
                <w:lang w:val="en-US" w:eastAsia="zh-CN"/>
              </w:rPr>
              <w:t>或电子银行等信息平台</w:t>
            </w:r>
            <w:r>
              <w:rPr>
                <w:rFonts w:hint="eastAsia"/>
                <w:sz w:val="18"/>
                <w:szCs w:val="18"/>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cs="Times New Roman"/>
                <w:sz w:val="18"/>
                <w:szCs w:val="18"/>
                <w:lang w:val="en-US" w:eastAsia="zh-CN"/>
              </w:rPr>
              <w:t>计划成立日/投资周期起始</w:t>
            </w:r>
            <w:r>
              <w:rPr>
                <w:rFonts w:hint="eastAsia" w:cs="Times New Roman"/>
                <w:sz w:val="18"/>
                <w:szCs w:val="18"/>
              </w:rPr>
              <w:t>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w:t>
      </w:r>
      <w:r>
        <w:rPr>
          <w:rFonts w:hint="eastAsia"/>
          <w:sz w:val="18"/>
          <w:szCs w:val="18"/>
          <w:lang w:val="en-US" w:eastAsia="zh-CN"/>
        </w:rPr>
        <w:t>债券回购、</w:t>
      </w:r>
      <w:r>
        <w:rPr>
          <w:rFonts w:hint="eastAsia"/>
          <w:sz w:val="18"/>
          <w:szCs w:val="18"/>
        </w:rPr>
        <w:t>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lang w:val="en-US" w:eastAsia="zh-CN"/>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default" w:eastAsia="宋体"/>
          <w:sz w:val="18"/>
          <w:szCs w:val="18"/>
          <w:lang w:val="en-US" w:eastAsia="zh-CN"/>
        </w:rPr>
      </w:pPr>
      <w:r>
        <w:rPr>
          <w:rFonts w:hint="eastAsia"/>
          <w:sz w:val="18"/>
          <w:szCs w:val="18"/>
          <w:lang w:val="en-US" w:eastAsia="zh-CN"/>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 xml:space="preserve">1、债券的估值方法 </w:t>
      </w:r>
    </w:p>
    <w:p>
      <w:pPr>
        <w:adjustRightInd w:val="0"/>
        <w:snapToGrid w:val="0"/>
        <w:spacing w:line="286" w:lineRule="auto"/>
        <w:rPr>
          <w:rFonts w:hint="eastAsia"/>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rFonts w:hint="eastAsia"/>
          <w:sz w:val="18"/>
          <w:szCs w:val="18"/>
        </w:rPr>
      </w:pPr>
      <w:r>
        <w:rPr>
          <w:rFonts w:hint="eastAsia"/>
          <w:sz w:val="18"/>
          <w:szCs w:val="18"/>
        </w:rPr>
        <w:t>（2）以交易为目的持有的债券按市价法估值。</w:t>
      </w:r>
    </w:p>
    <w:p>
      <w:pPr>
        <w:adjustRightInd w:val="0"/>
        <w:snapToGrid w:val="0"/>
        <w:spacing w:line="286" w:lineRule="auto"/>
        <w:rPr>
          <w:rFonts w:hint="eastAsia"/>
          <w:sz w:val="18"/>
          <w:szCs w:val="18"/>
        </w:rPr>
      </w:pPr>
      <w:r>
        <w:rPr>
          <w:rFonts w:hint="eastAsia"/>
          <w:sz w:val="18"/>
          <w:szCs w:val="18"/>
        </w:rPr>
        <w:t xml:space="preserve">2、货币市场金融工具的估值方法 </w:t>
      </w:r>
    </w:p>
    <w:p>
      <w:pPr>
        <w:adjustRightInd w:val="0"/>
        <w:snapToGrid w:val="0"/>
        <w:spacing w:line="286" w:lineRule="auto"/>
        <w:rPr>
          <w:rFonts w:hint="eastAsia"/>
          <w:sz w:val="18"/>
          <w:szCs w:val="18"/>
        </w:rPr>
      </w:pPr>
      <w:r>
        <w:rPr>
          <w:rFonts w:hint="eastAsia"/>
          <w:sz w:val="18"/>
          <w:szCs w:val="18"/>
        </w:rPr>
        <w:t>（1）银行存款类资产以本金列示、逐日计提利息；</w:t>
      </w:r>
    </w:p>
    <w:p>
      <w:pPr>
        <w:adjustRightInd w:val="0"/>
        <w:snapToGrid w:val="0"/>
        <w:spacing w:line="286" w:lineRule="auto"/>
        <w:rPr>
          <w:rFonts w:hint="eastAsia"/>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rFonts w:hint="eastAsia"/>
          <w:sz w:val="18"/>
          <w:szCs w:val="18"/>
        </w:rPr>
      </w:pPr>
      <w:r>
        <w:rPr>
          <w:rFonts w:hint="eastAsia"/>
          <w:sz w:val="18"/>
          <w:szCs w:val="18"/>
        </w:rPr>
        <w:t xml:space="preserve">3、其他资产的估值方法 </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 xml:space="preserve">4、其他 </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rFonts w:hint="eastAsia"/>
          <w:color w:val="000000"/>
          <w:sz w:val="18"/>
        </w:rPr>
      </w:pPr>
      <w:r>
        <w:rPr>
          <w:rFonts w:hint="eastAsia"/>
          <w:color w:val="000000"/>
          <w:sz w:val="18"/>
        </w:rPr>
        <w:t>（1）本理财产品余额连续20个工作日低于1亿份；</w:t>
      </w:r>
    </w:p>
    <w:p>
      <w:pPr>
        <w:adjustRightInd w:val="0"/>
        <w:snapToGrid w:val="0"/>
        <w:spacing w:line="286" w:lineRule="auto"/>
        <w:rPr>
          <w:rFonts w:hint="eastAsia"/>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rFonts w:hint="eastAsia"/>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rFonts w:hint="eastAsia"/>
          <w:sz w:val="18"/>
          <w:szCs w:val="18"/>
        </w:rPr>
      </w:pPr>
      <w:r>
        <w:rPr>
          <w:rFonts w:hint="eastAsia"/>
          <w:sz w:val="18"/>
          <w:szCs w:val="18"/>
        </w:rPr>
        <w:t>H＝E×0.5%÷365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eastAsia="宋体"/>
          <w:sz w:val="18"/>
          <w:szCs w:val="18"/>
          <w:lang w:eastAsia="zh-CN"/>
        </w:rPr>
      </w:pPr>
      <w:r>
        <w:rPr>
          <w:rFonts w:hint="eastAsia"/>
          <w:sz w:val="18"/>
          <w:szCs w:val="18"/>
        </w:rPr>
        <w:t>R为当日的业绩比较基准</w:t>
      </w:r>
      <w:r>
        <w:rPr>
          <w:rFonts w:hint="eastAsia"/>
          <w:sz w:val="18"/>
          <w:szCs w:val="18"/>
          <w:lang w:eastAsia="zh-CN"/>
        </w:rPr>
        <w:t>，</w:t>
      </w:r>
      <w:r>
        <w:rPr>
          <w:rFonts w:hint="eastAsia"/>
          <w:color w:val="auto"/>
          <w:sz w:val="18"/>
          <w:szCs w:val="18"/>
        </w:rPr>
        <w:t>若业绩比较基准存在区间范围的，则为业绩比较基准区间</w:t>
      </w:r>
      <w:r>
        <w:rPr>
          <w:rFonts w:hint="eastAsia"/>
          <w:color w:val="auto"/>
          <w:sz w:val="18"/>
          <w:szCs w:val="18"/>
          <w:lang w:val="en-US" w:eastAsia="zh-CN"/>
        </w:rPr>
        <w:t>均值</w:t>
      </w:r>
      <w:r>
        <w:rPr>
          <w:color w:val="auto"/>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sz w:val="18"/>
          <w:szCs w:val="18"/>
        </w:rPr>
      </w:pPr>
      <w:r>
        <w:rPr>
          <w:rFonts w:hint="eastAsia"/>
          <w:b/>
          <w:bCs/>
          <w:sz w:val="18"/>
          <w:szCs w:val="18"/>
          <w:u w:val="single"/>
        </w:rPr>
        <w:t>本理财计划在非产品工作日内投资者不得提前赎回</w:t>
      </w:r>
      <w:r>
        <w:rPr>
          <w:rFonts w:hint="eastAsia"/>
          <w:b/>
          <w:bCs/>
          <w:sz w:val="18"/>
          <w:szCs w:val="18"/>
        </w:rPr>
        <w:t>。</w:t>
      </w:r>
      <w:r>
        <w:rPr>
          <w:rFonts w:hint="eastAsia"/>
          <w:sz w:val="18"/>
          <w:szCs w:val="18"/>
        </w:rPr>
        <w:t>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lang w:val="en-US" w:eastAsia="zh-CN"/>
        </w:rPr>
        <w:t>或资本</w:t>
      </w:r>
      <w:r>
        <w:rPr>
          <w:rFonts w:ascii="宋体" w:hAnsi="宋体"/>
          <w:sz w:val="18"/>
          <w:szCs w:val="18"/>
        </w:rPr>
        <w:t>市场变化或波动所引起的资产损失的可能性。宏观经济运行的周期性，财政政策、货币政策等国家政策的变动，以及政府对证券市场的监管政策的变化等因素都会对债券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w:t>
      </w:r>
      <w:r>
        <w:rPr>
          <w:rFonts w:hint="eastAsia"/>
          <w:sz w:val="18"/>
          <w:szCs w:val="18"/>
          <w:lang w:val="en-US" w:eastAsia="zh-CN"/>
        </w:rPr>
        <w:t>1</w:t>
      </w:r>
      <w:r>
        <w:rPr>
          <w:rFonts w:hint="eastAsia"/>
          <w:sz w:val="18"/>
          <w:szCs w:val="18"/>
        </w:rPr>
        <w:t>、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w:t>
      </w:r>
      <w:r>
        <w:rPr>
          <w:rFonts w:hint="eastAsia"/>
          <w:sz w:val="18"/>
          <w:szCs w:val="18"/>
          <w:lang w:val="en-US" w:eastAsia="zh-CN"/>
        </w:rPr>
        <w:t>或电子银行等信息平台</w:t>
      </w:r>
      <w:r>
        <w:rPr>
          <w:rFonts w:hint="eastAsia"/>
          <w:sz w:val="18"/>
          <w:szCs w:val="18"/>
        </w:rPr>
        <w:t>对本产品说明书予以公示。产品存续期间，投资者应当登录温州银行网站（www.wzbank.cn）</w:t>
      </w:r>
      <w:r>
        <w:rPr>
          <w:rFonts w:hint="eastAsia"/>
          <w:sz w:val="18"/>
          <w:szCs w:val="18"/>
          <w:lang w:val="en-US" w:eastAsia="zh-CN"/>
        </w:rPr>
        <w:t>或电子银行等信息平台</w:t>
      </w:r>
      <w:r>
        <w:rPr>
          <w:rFonts w:hint="eastAsia"/>
          <w:sz w:val="18"/>
          <w:szCs w:val="18"/>
        </w:rPr>
        <w:t>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w:t>
      </w:r>
      <w:r>
        <w:rPr>
          <w:rFonts w:hint="eastAsia"/>
          <w:sz w:val="18"/>
          <w:szCs w:val="18"/>
          <w:lang w:val="en-US" w:eastAsia="zh-CN"/>
        </w:rPr>
        <w:t>或电子银行等信息平台</w:t>
      </w:r>
      <w:r>
        <w:rPr>
          <w:rFonts w:hint="eastAsia"/>
          <w:sz w:val="18"/>
          <w:szCs w:val="18"/>
        </w:rPr>
        <w:t>，至少按月为投资者提供理财产品账单信息。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sz w:val="18"/>
          <w:szCs w:val="18"/>
          <w:lang w:val="en-US" w:eastAsia="zh-CN"/>
        </w:rPr>
        <w:t>计划成立日/投资周期起始</w:t>
      </w:r>
      <w:r>
        <w:rPr>
          <w:rFonts w:hint="eastAsia"/>
          <w:sz w:val="18"/>
          <w:szCs w:val="18"/>
        </w:rPr>
        <w:t>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E3E46"/>
    <w:rsid w:val="00240B17"/>
    <w:rsid w:val="003839BF"/>
    <w:rsid w:val="004702B4"/>
    <w:rsid w:val="004B149F"/>
    <w:rsid w:val="004D632E"/>
    <w:rsid w:val="004F3D56"/>
    <w:rsid w:val="00561460"/>
    <w:rsid w:val="006070F0"/>
    <w:rsid w:val="00642EFA"/>
    <w:rsid w:val="006C24F6"/>
    <w:rsid w:val="00726556"/>
    <w:rsid w:val="00B0469F"/>
    <w:rsid w:val="00B873B9"/>
    <w:rsid w:val="00BF5F08"/>
    <w:rsid w:val="00C84777"/>
    <w:rsid w:val="00CC30DF"/>
    <w:rsid w:val="00CC5CBF"/>
    <w:rsid w:val="00D911CD"/>
    <w:rsid w:val="00DC7332"/>
    <w:rsid w:val="00E743FE"/>
    <w:rsid w:val="00E817AD"/>
    <w:rsid w:val="00E87E78"/>
    <w:rsid w:val="00F003E0"/>
    <w:rsid w:val="01107283"/>
    <w:rsid w:val="013B04AF"/>
    <w:rsid w:val="013F1C80"/>
    <w:rsid w:val="014D4226"/>
    <w:rsid w:val="035F5B62"/>
    <w:rsid w:val="054B1243"/>
    <w:rsid w:val="056A5112"/>
    <w:rsid w:val="05BE5868"/>
    <w:rsid w:val="0831435C"/>
    <w:rsid w:val="098E3976"/>
    <w:rsid w:val="0BA820C6"/>
    <w:rsid w:val="0D80050B"/>
    <w:rsid w:val="0DD2713B"/>
    <w:rsid w:val="0E490064"/>
    <w:rsid w:val="0E4A4F72"/>
    <w:rsid w:val="109C216B"/>
    <w:rsid w:val="11C64501"/>
    <w:rsid w:val="138D0757"/>
    <w:rsid w:val="13E4398C"/>
    <w:rsid w:val="16CA708E"/>
    <w:rsid w:val="16EE7258"/>
    <w:rsid w:val="17892312"/>
    <w:rsid w:val="18797458"/>
    <w:rsid w:val="18D67783"/>
    <w:rsid w:val="1B3E22C5"/>
    <w:rsid w:val="1DC92858"/>
    <w:rsid w:val="1E2622AE"/>
    <w:rsid w:val="230E3B63"/>
    <w:rsid w:val="23EC2A46"/>
    <w:rsid w:val="24845E93"/>
    <w:rsid w:val="25C1363B"/>
    <w:rsid w:val="28636FA3"/>
    <w:rsid w:val="2AE21E1E"/>
    <w:rsid w:val="2C9367E4"/>
    <w:rsid w:val="2CF84B28"/>
    <w:rsid w:val="2CFF7EE5"/>
    <w:rsid w:val="2D8F5880"/>
    <w:rsid w:val="304709FE"/>
    <w:rsid w:val="30873011"/>
    <w:rsid w:val="32600E2A"/>
    <w:rsid w:val="33BB0464"/>
    <w:rsid w:val="34582769"/>
    <w:rsid w:val="351A7ABC"/>
    <w:rsid w:val="35635518"/>
    <w:rsid w:val="36D42F75"/>
    <w:rsid w:val="3CA95CCE"/>
    <w:rsid w:val="3CD60CF3"/>
    <w:rsid w:val="3D3D61A4"/>
    <w:rsid w:val="3D6E0AAA"/>
    <w:rsid w:val="40764994"/>
    <w:rsid w:val="43710A36"/>
    <w:rsid w:val="44D7779F"/>
    <w:rsid w:val="458B5C50"/>
    <w:rsid w:val="493C1AF2"/>
    <w:rsid w:val="4B3A78C8"/>
    <w:rsid w:val="4C326B56"/>
    <w:rsid w:val="4D1F2F41"/>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F67827"/>
    <w:rsid w:val="5D2F7B31"/>
    <w:rsid w:val="5D8416F7"/>
    <w:rsid w:val="62373B72"/>
    <w:rsid w:val="628B4E13"/>
    <w:rsid w:val="63886FFE"/>
    <w:rsid w:val="644D2BDF"/>
    <w:rsid w:val="6B5424D8"/>
    <w:rsid w:val="6BEA4E88"/>
    <w:rsid w:val="6D763CAB"/>
    <w:rsid w:val="6E721415"/>
    <w:rsid w:val="6F9406F7"/>
    <w:rsid w:val="71AC58D0"/>
    <w:rsid w:val="721944C5"/>
    <w:rsid w:val="745B12C0"/>
    <w:rsid w:val="75646EFC"/>
    <w:rsid w:val="759A00B6"/>
    <w:rsid w:val="75EE1A0C"/>
    <w:rsid w:val="78AF2A24"/>
    <w:rsid w:val="7A7957AE"/>
    <w:rsid w:val="7AB61D86"/>
    <w:rsid w:val="7B6E3D14"/>
    <w:rsid w:val="7CB110A9"/>
    <w:rsid w:val="7E046FB3"/>
    <w:rsid w:val="7F560AEA"/>
    <w:rsid w:val="7F744F7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3"/>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annotation reference"/>
    <w:unhideWhenUsed/>
    <w:qFormat/>
    <w:uiPriority w:val="99"/>
    <w:rPr>
      <w:sz w:val="21"/>
      <w:szCs w:val="21"/>
    </w:rPr>
  </w:style>
  <w:style w:type="paragraph" w:customStyle="1" w:styleId="10">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_Style 11"/>
    <w:unhideWhenUsed/>
    <w:qFormat/>
    <w:uiPriority w:val="99"/>
    <w:rPr>
      <w:rFonts w:ascii="Times New Roman" w:hAnsi="Times New Roman" w:eastAsia="宋体" w:cs="Times New Roman"/>
      <w:kern w:val="2"/>
      <w:sz w:val="21"/>
      <w:lang w:val="en-US" w:eastAsia="zh-CN" w:bidi="ar-SA"/>
    </w:rPr>
  </w:style>
  <w:style w:type="character" w:customStyle="1" w:styleId="13">
    <w:name w:val="批注框文本 字符"/>
    <w:link w:val="3"/>
    <w:qFormat/>
    <w:uiPriority w:val="0"/>
    <w:rPr>
      <w:rFonts w:ascii="Times New Roman" w:hAnsi="Times New Roman"/>
      <w:kern w:val="2"/>
      <w:sz w:val="18"/>
      <w:szCs w:val="18"/>
    </w:rPr>
  </w:style>
  <w:style w:type="character" w:customStyle="1" w:styleId="14">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9</Pages>
  <Words>1956</Words>
  <Characters>11150</Characters>
  <Lines>92</Lines>
  <Paragraphs>26</Paragraphs>
  <TotalTime>8</TotalTime>
  <ScaleCrop>false</ScaleCrop>
  <LinksUpToDate>false</LinksUpToDate>
  <CharactersWithSpaces>13080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1108wzb</cp:lastModifiedBy>
  <dcterms:modified xsi:type="dcterms:W3CDTF">2022-11-14T10:23:18Z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