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20007</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szCs w:val="21"/>
          <w:highlight w:val="none"/>
          <w:u w:val="single"/>
          <w:lang w:eastAsia="zh-CN"/>
        </w:rPr>
        <w:t>20007</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“金鹿理财-温盈”</w:t>
      </w:r>
      <w:r>
        <w:rPr>
          <w:rFonts w:hint="eastAsia" w:ascii="宋体" w:hAnsi="宋体"/>
          <w:szCs w:val="21"/>
          <w:highlight w:val="none"/>
          <w:lang w:eastAsia="zh-CN"/>
        </w:rPr>
        <w:t>20007</w:t>
      </w:r>
      <w:r>
        <w:rPr>
          <w:rFonts w:hint="eastAsia" w:ascii="宋体" w:hAnsi="宋体"/>
          <w:szCs w:val="21"/>
          <w:highlight w:val="none"/>
        </w:rPr>
        <w:t>号开放式净值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三、本风险揭示书及《温州银行“金鹿理财-温盈”</w:t>
      </w:r>
      <w:r>
        <w:rPr>
          <w:rFonts w:hint="eastAsia" w:ascii="宋体" w:hAnsi="宋体"/>
          <w:szCs w:val="21"/>
          <w:highlight w:val="none"/>
          <w:lang w:eastAsia="zh-CN"/>
        </w:rPr>
        <w:t>20007</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szCs w:val="21"/>
          <w:highlight w:val="none"/>
          <w:lang w:eastAsia="zh-CN"/>
        </w:rPr>
        <w:t>20007</w:t>
      </w:r>
      <w:r>
        <w:rPr>
          <w:rFonts w:hint="eastAsia" w:ascii="宋体" w:hAnsi="宋体"/>
          <w:szCs w:val="21"/>
          <w:highlight w:val="none"/>
        </w:rPr>
        <w:t>号开放式净值型银行理财计划产品说明书》、《温州银行“金鹿理财-温盈”</w:t>
      </w:r>
      <w:r>
        <w:rPr>
          <w:rFonts w:hint="eastAsia" w:ascii="宋体" w:hAnsi="宋体"/>
          <w:szCs w:val="21"/>
          <w:highlight w:val="none"/>
          <w:lang w:eastAsia="zh-CN"/>
        </w:rPr>
        <w:t>20007</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20007</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温盈”</w:t>
      </w:r>
      <w:r>
        <w:rPr>
          <w:rFonts w:hint="eastAsia"/>
          <w:sz w:val="18"/>
          <w:szCs w:val="18"/>
          <w:highlight w:val="none"/>
          <w:lang w:eastAsia="zh-CN"/>
        </w:rPr>
        <w:t>20007</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“金鹿理财-温盈”</w:t>
            </w:r>
            <w:r>
              <w:rPr>
                <w:rFonts w:hint="eastAsia"/>
                <w:sz w:val="18"/>
                <w:szCs w:val="18"/>
                <w:highlight w:val="none"/>
                <w:u w:val="single"/>
                <w:lang w:eastAsia="zh-CN"/>
              </w:rPr>
              <w:t>20007</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YJ</w:t>
            </w:r>
            <w:r>
              <w:rPr>
                <w:rFonts w:hint="eastAsia"/>
                <w:sz w:val="18"/>
                <w:szCs w:val="18"/>
                <w:highlight w:val="none"/>
                <w:lang w:val="en-US" w:eastAsia="zh-CN"/>
              </w:rPr>
              <w:t>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C1092220000058</w:t>
            </w:r>
          </w:p>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2020年1月22日至2020年1月30日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55</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本理财计划成立日为2020年</w:t>
            </w:r>
            <w:r>
              <w:rPr>
                <w:rFonts w:hint="eastAsia"/>
                <w:sz w:val="18"/>
                <w:szCs w:val="18"/>
              </w:rPr>
              <w:t>1月31日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lang w:val="en-US" w:eastAsia="zh-CN"/>
              </w:rPr>
              <w:t>187</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187</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《温州银行“金鹿理财-温盈”</w:t>
            </w:r>
            <w:r>
              <w:rPr>
                <w:rFonts w:hint="eastAsia"/>
                <w:sz w:val="18"/>
                <w:szCs w:val="18"/>
                <w:highlight w:val="none"/>
                <w:lang w:eastAsia="zh-CN"/>
              </w:rPr>
              <w:t>20007</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cs="Times New Roman"/>
                <w:sz w:val="18"/>
                <w:szCs w:val="18"/>
                <w:highlight w:val="none"/>
                <w:lang w:eastAsia="zh-CN"/>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color w:val="auto"/>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color w:val="auto"/>
                <w:sz w:val="18"/>
                <w:szCs w:val="18"/>
                <w:highlight w:val="none"/>
              </w:rPr>
              <w:t>理财本金在理财</w:t>
            </w:r>
            <w:r>
              <w:rPr>
                <w:rFonts w:hint="eastAsia" w:cs="Times New Roman"/>
                <w:color w:val="auto"/>
                <w:sz w:val="18"/>
                <w:szCs w:val="18"/>
                <w:highlight w:val="none"/>
                <w:lang w:val="en-US" w:eastAsia="zh-CN"/>
              </w:rPr>
              <w:t>计划成立日/投资周期起始日</w:t>
            </w:r>
            <w:r>
              <w:rPr>
                <w:rFonts w:hint="eastAsia" w:cs="Times New Roman"/>
                <w:color w:val="auto"/>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color w:val="auto"/>
          <w:sz w:val="18"/>
          <w:szCs w:val="18"/>
          <w:highlight w:val="none"/>
          <w:lang w:val="en-US" w:eastAsia="zh-CN"/>
        </w:rPr>
      </w:pPr>
      <w:r>
        <w:rPr>
          <w:rFonts w:hint="eastAsia"/>
          <w:color w:val="auto"/>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宁波</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《温州银行“金鹿理财-温盈”</w:t>
      </w:r>
      <w:r>
        <w:rPr>
          <w:rFonts w:hint="eastAsia"/>
          <w:sz w:val="18"/>
          <w:szCs w:val="18"/>
          <w:highlight w:val="none"/>
          <w:lang w:eastAsia="zh-CN"/>
        </w:rPr>
        <w:t>20007</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：本理财计划成立日为2020年1月</w:t>
      </w:r>
      <w:r>
        <w:rPr>
          <w:rFonts w:hint="eastAsia"/>
          <w:sz w:val="18"/>
          <w:szCs w:val="18"/>
          <w:highlight w:val="none"/>
          <w:lang w:val="en-US" w:eastAsia="zh-CN"/>
        </w:rPr>
        <w:t>31</w:t>
      </w:r>
      <w:r>
        <w:rPr>
          <w:rFonts w:hint="eastAsia"/>
          <w:sz w:val="18"/>
          <w:szCs w:val="18"/>
          <w:highlight w:val="none"/>
        </w:rPr>
        <w:t>日，从成立日起，每</w:t>
      </w:r>
      <w:r>
        <w:rPr>
          <w:rFonts w:ascii="宋体" w:hAnsi="宋体"/>
          <w:sz w:val="18"/>
          <w:highlight w:val="none"/>
        </w:rPr>
        <w:t>【</w:t>
      </w:r>
      <w:r>
        <w:rPr>
          <w:rFonts w:hint="eastAsia" w:ascii="宋体" w:hAnsi="宋体"/>
          <w:sz w:val="18"/>
          <w:highlight w:val="none"/>
          <w:lang w:val="en-US" w:eastAsia="zh-CN"/>
        </w:rPr>
        <w:t>187</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187</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万元或人民币</w:t>
      </w:r>
      <w:r>
        <w:rPr>
          <w:sz w:val="18"/>
          <w:szCs w:val="18"/>
          <w:highlight w:val="none"/>
        </w:rPr>
        <w:t>1</w:t>
      </w:r>
      <w:r>
        <w:rPr>
          <w:rFonts w:hint="eastAsia"/>
          <w:sz w:val="18"/>
          <w:szCs w:val="18"/>
          <w:highlight w:val="none"/>
        </w:rPr>
        <w:t>万元的整数倍。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赎回费＝赎回金额×赎回费率，本计划赎回费率为0</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0年1月</w:t>
      </w:r>
      <w:r>
        <w:rPr>
          <w:rFonts w:hint="eastAsia"/>
          <w:sz w:val="18"/>
          <w:szCs w:val="18"/>
          <w:highlight w:val="none"/>
          <w:lang w:val="en-US" w:eastAsia="zh-CN"/>
        </w:rPr>
        <w:t>31</w:t>
      </w:r>
      <w:r>
        <w:rPr>
          <w:rFonts w:hint="eastAsia"/>
          <w:sz w:val="18"/>
          <w:szCs w:val="18"/>
          <w:highlight w:val="none"/>
        </w:rPr>
        <w:t>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w:t>
      </w:r>
      <w:r>
        <w:rPr>
          <w:rFonts w:hint="eastAsia"/>
          <w:color w:val="auto"/>
          <w:sz w:val="18"/>
          <w:szCs w:val="18"/>
          <w:highlight w:val="none"/>
          <w:lang w:val="en-US" w:eastAsia="zh-CN"/>
        </w:rPr>
        <w:t>每个投资运作周期</w:t>
      </w:r>
      <w:r>
        <w:rPr>
          <w:rFonts w:hint="eastAsia"/>
          <w:color w:val="auto"/>
          <w:sz w:val="18"/>
          <w:szCs w:val="18"/>
          <w:highlight w:val="none"/>
        </w:rPr>
        <w:t>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（3）浮动管理费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理财计划到期日份额净值-</w:t>
      </w:r>
      <w:r>
        <w:rPr>
          <w:rFonts w:hint="eastAsia" w:ascii="宋体" w:hAnsi="宋体"/>
          <w:sz w:val="18"/>
          <w:highlight w:val="none"/>
          <w:lang w:val="zh-CN"/>
        </w:rPr>
        <w:t>认购（申购）确认日前一自然日</w:t>
      </w:r>
      <w:r>
        <w:rPr>
          <w:rFonts w:hint="eastAsia"/>
          <w:sz w:val="18"/>
          <w:szCs w:val="18"/>
          <w:highlight w:val="none"/>
        </w:rPr>
        <w:t>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hint="eastAsia"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highlight w:val="none"/>
          <w:lang w:eastAsia="zh-CN"/>
        </w:rPr>
        <w:t>、</w:t>
      </w:r>
      <w:r>
        <w:rPr>
          <w:rFonts w:hint="eastAsia"/>
          <w:sz w:val="18"/>
          <w:szCs w:val="18"/>
          <w:highlight w:val="none"/>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6、温州银行将在理财期内在温州银行网站（www.wzbank.cn）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对本产品说明书予以公示。产品存续期间，投资者应当登录温州银行网站（www.wzbank.cn）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获取与本理财产品相关的信息。</w:t>
      </w:r>
    </w:p>
    <w:p>
      <w:pPr>
        <w:adjustRightInd w:val="0"/>
        <w:snapToGrid w:val="0"/>
        <w:spacing w:line="286" w:lineRule="auto"/>
        <w:rPr>
          <w:color w:val="auto"/>
          <w:sz w:val="18"/>
          <w:szCs w:val="18"/>
          <w:highlight w:val="none"/>
        </w:rPr>
      </w:pPr>
      <w:r>
        <w:rPr>
          <w:rFonts w:hint="eastAsia"/>
          <w:color w:val="auto"/>
          <w:sz w:val="18"/>
          <w:szCs w:val="18"/>
          <w:highlight w:val="none"/>
        </w:rPr>
        <w:t>7、理财产品账单：温州银行将在理财期内在温州银行网站（www.wzbank.cn）或</w:t>
      </w:r>
      <w:r>
        <w:rPr>
          <w:rFonts w:hint="eastAsia"/>
          <w:color w:val="auto"/>
          <w:sz w:val="18"/>
          <w:szCs w:val="18"/>
          <w:highlight w:val="none"/>
          <w:lang w:val="en-US" w:eastAsia="zh-CN"/>
        </w:rPr>
        <w:t>电子银行等信息平台</w:t>
      </w:r>
      <w:r>
        <w:rPr>
          <w:rFonts w:hint="eastAsia"/>
          <w:color w:val="auto"/>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（3）《温州银行“金鹿理财-温盈”</w:t>
      </w:r>
      <w:r>
        <w:rPr>
          <w:rFonts w:hint="eastAsia"/>
          <w:sz w:val="18"/>
          <w:szCs w:val="18"/>
          <w:highlight w:val="none"/>
          <w:lang w:eastAsia="zh-CN"/>
        </w:rPr>
        <w:t>20007</w:t>
      </w:r>
      <w:r>
        <w:rPr>
          <w:rFonts w:hint="eastAsia"/>
          <w:sz w:val="18"/>
          <w:szCs w:val="18"/>
          <w:highlight w:val="none"/>
        </w:rPr>
        <w:t>号开放式净值型银行理财计划风险揭示书》、《温州银行“金鹿理财”银行理财计划合约》、《温州银行“金鹿理财-温盈”</w:t>
      </w:r>
      <w:r>
        <w:rPr>
          <w:rFonts w:hint="eastAsia"/>
          <w:sz w:val="18"/>
          <w:szCs w:val="18"/>
          <w:highlight w:val="none"/>
          <w:lang w:eastAsia="zh-CN"/>
        </w:rPr>
        <w:t>20007</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spacing w:line="372" w:lineRule="auto"/>
        <w:rPr>
          <w:rFonts w:hint="eastAsia"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9ec0ebiKKITulZBCDMNfvHT4QKA=" w:salt="yrz9s9fggQdT6pk6uGuFOQ=="/>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38F2915"/>
    <w:rsid w:val="243D7238"/>
    <w:rsid w:val="25385D7F"/>
    <w:rsid w:val="25D455A1"/>
    <w:rsid w:val="284D2E1D"/>
    <w:rsid w:val="305D1E10"/>
    <w:rsid w:val="306F7311"/>
    <w:rsid w:val="31253F01"/>
    <w:rsid w:val="33157C11"/>
    <w:rsid w:val="34B4240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7D232A2"/>
    <w:rsid w:val="78115854"/>
    <w:rsid w:val="7BF13C4F"/>
    <w:rsid w:val="7DDE5540"/>
    <w:rsid w:val="7DE500BC"/>
    <w:rsid w:val="7E1750DA"/>
    <w:rsid w:val="7FDA6AD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customStyle="1" w:styleId="14">
    <w:name w:val="批注框文本 Char"/>
    <w:link w:val="3"/>
    <w:semiHidden/>
    <w:qFormat/>
    <w:uiPriority w:val="99"/>
    <w:rPr>
      <w:rFonts w:ascii="Times New Roman" w:hAnsi="Times New Roman"/>
      <w:kern w:val="2"/>
      <w:sz w:val="18"/>
      <w:szCs w:val="18"/>
    </w:rPr>
  </w:style>
  <w:style w:type="character" w:customStyle="1" w:styleId="15">
    <w:name w:val="批注文字 Char"/>
    <w:link w:val="2"/>
    <w:semiHidden/>
    <w:uiPriority w:val="99"/>
    <w:rPr>
      <w:rFonts w:ascii="Times New Roman" w:hAnsi="Times New Roman"/>
      <w:kern w:val="2"/>
      <w:sz w:val="21"/>
    </w:rPr>
  </w:style>
  <w:style w:type="character" w:customStyle="1" w:styleId="16">
    <w:name w:val="页眉 Char"/>
    <w:link w:val="5"/>
    <w:semiHidden/>
    <w:uiPriority w:val="99"/>
    <w:rPr>
      <w:sz w:val="18"/>
      <w:szCs w:val="18"/>
    </w:rPr>
  </w:style>
  <w:style w:type="character" w:customStyle="1" w:styleId="17">
    <w:name w:val="页脚 Char"/>
    <w:link w:val="4"/>
    <w:qFormat/>
    <w:uiPriority w:val="99"/>
    <w:rPr>
      <w:sz w:val="18"/>
      <w:szCs w:val="18"/>
    </w:rPr>
  </w:style>
  <w:style w:type="character" w:customStyle="1" w:styleId="18">
    <w:name w:val="批注主题 Char"/>
    <w:link w:val="7"/>
    <w:semiHidden/>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2137</Words>
  <Characters>12183</Characters>
  <Lines>101</Lines>
  <Paragraphs>28</Paragraphs>
  <TotalTime>1</TotalTime>
  <ScaleCrop>false</ScaleCrop>
  <LinksUpToDate>false</LinksUpToDate>
  <CharactersWithSpaces>14292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2023-01-20T05:19:05Z</dcterms:modified>
  <dc:title>温州银行“金鹿理财-温盈”1号银行理财计划风险揭示书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