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20010</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szCs w:val="21"/>
          <w:highlight w:val="none"/>
          <w:u w:val="single"/>
          <w:lang w:eastAsia="zh-CN"/>
        </w:rPr>
        <w:t>20010</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szCs w:val="21"/>
          <w:highlight w:val="none"/>
        </w:rPr>
        <w:t>“金鹿理财-温盈”</w:t>
      </w:r>
      <w:r>
        <w:rPr>
          <w:rFonts w:hint="eastAsia" w:ascii="宋体" w:hAnsi="宋体"/>
          <w:szCs w:val="21"/>
          <w:highlight w:val="none"/>
          <w:lang w:eastAsia="zh-CN"/>
        </w:rPr>
        <w:t>20010</w:t>
      </w:r>
      <w:r>
        <w:rPr>
          <w:rFonts w:hint="eastAsia" w:ascii="宋体" w:hAnsi="宋体"/>
          <w:szCs w:val="21"/>
          <w:highlight w:val="none"/>
        </w:rPr>
        <w:t>号开放式净值</w:t>
      </w:r>
      <w:r>
        <w:rPr>
          <w:rFonts w:hint="eastAsia"/>
          <w:szCs w:val="21"/>
          <w:highlight w:val="none"/>
        </w:rPr>
        <w:t>型（第i期）银行理财计划开放认购（申购）申请书》约定为准。根据温</w:t>
      </w:r>
      <w:r>
        <w:rPr>
          <w:rFonts w:hint="eastAsia" w:ascii="宋体" w:hAnsi="宋体"/>
          <w:szCs w:val="21"/>
          <w:highlight w:val="none"/>
        </w:rPr>
        <w:t>州银行内部风险评级标准，该产品的风险等级为</w:t>
      </w:r>
      <w:r>
        <w:rPr>
          <w:rFonts w:hint="eastAsia" w:ascii="宋体" w:hAnsi="宋体"/>
          <w:szCs w:val="21"/>
          <w:highlight w:val="none"/>
          <w:u w:val="single"/>
        </w:rPr>
        <w:t>PR2级</w:t>
      </w:r>
      <w:r>
        <w:rPr>
          <w:rFonts w:hint="eastAsia" w:ascii="宋体" w:hAnsi="宋体"/>
          <w:szCs w:val="21"/>
          <w:highlight w:val="none"/>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三、本风险揭示书及《温州银行“金鹿理财-温盈”</w:t>
      </w:r>
      <w:r>
        <w:rPr>
          <w:rFonts w:hint="eastAsia" w:ascii="宋体" w:hAnsi="宋体"/>
          <w:szCs w:val="21"/>
          <w:highlight w:val="none"/>
          <w:lang w:eastAsia="zh-CN"/>
        </w:rPr>
        <w:t>20010</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ascii="宋体" w:hAnsi="宋体"/>
          <w:szCs w:val="21"/>
          <w:highlight w:val="none"/>
          <w:lang w:eastAsia="zh-CN"/>
        </w:rPr>
        <w:t>20010</w:t>
      </w:r>
      <w:r>
        <w:rPr>
          <w:rFonts w:hint="eastAsia" w:ascii="宋体" w:hAnsi="宋体"/>
          <w:szCs w:val="21"/>
          <w:highlight w:val="none"/>
        </w:rPr>
        <w:t>号开放式净值型银行理财计划产品说明书》、《温州银行“金鹿理财-温盈”</w:t>
      </w:r>
      <w:r>
        <w:rPr>
          <w:rFonts w:hint="eastAsia" w:ascii="宋体" w:hAnsi="宋体"/>
          <w:szCs w:val="21"/>
          <w:highlight w:val="none"/>
          <w:lang w:eastAsia="zh-CN"/>
        </w:rPr>
        <w:t>20010</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hint="eastAsia"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20010</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温盈”</w:t>
      </w:r>
      <w:r>
        <w:rPr>
          <w:rFonts w:hint="eastAsia"/>
          <w:sz w:val="18"/>
          <w:szCs w:val="18"/>
          <w:highlight w:val="none"/>
          <w:lang w:eastAsia="zh-CN"/>
        </w:rPr>
        <w:t>20010</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“金鹿理财-温盈”</w:t>
            </w:r>
            <w:r>
              <w:rPr>
                <w:rFonts w:hint="eastAsia"/>
                <w:sz w:val="18"/>
                <w:szCs w:val="18"/>
                <w:highlight w:val="none"/>
                <w:u w:val="single"/>
                <w:lang w:eastAsia="zh-CN"/>
              </w:rPr>
              <w:t>20010</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highlight w:val="none"/>
                <w:lang w:val="en-US" w:eastAsia="zh-CN"/>
              </w:rPr>
            </w:pPr>
            <w:r>
              <w:rPr>
                <w:rFonts w:hint="eastAsia"/>
                <w:sz w:val="18"/>
                <w:szCs w:val="18"/>
                <w:highlight w:val="none"/>
              </w:rPr>
              <w:t>YJ</w:t>
            </w:r>
            <w:r>
              <w:rPr>
                <w:rFonts w:hint="eastAsia"/>
                <w:sz w:val="18"/>
                <w:szCs w:val="18"/>
                <w:highlight w:val="none"/>
                <w:lang w:val="en-US" w:eastAsia="zh-CN"/>
              </w:rPr>
              <w:t>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61</w:t>
            </w:r>
          </w:p>
          <w:p>
            <w:pPr>
              <w:pStyle w:val="13"/>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highlight w:val="none"/>
                <w:u w:val="single"/>
              </w:rPr>
            </w:pPr>
            <w:r>
              <w:rPr>
                <w:rFonts w:hint="eastAsia"/>
                <w:sz w:val="18"/>
                <w:szCs w:val="18"/>
                <w:u w:val="single"/>
              </w:rPr>
              <w:t>2020年2月3日至2020年2月9日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首个投资运作周期的业绩比较基准为4.</w:t>
            </w:r>
            <w:r>
              <w:rPr>
                <w:rFonts w:hint="eastAsia" w:cs="Times New Roman"/>
                <w:sz w:val="18"/>
                <w:szCs w:val="18"/>
                <w:highlight w:val="none"/>
                <w:lang w:val="en-US" w:eastAsia="zh-CN"/>
              </w:rPr>
              <w:t>55</w:t>
            </w:r>
            <w:r>
              <w:rPr>
                <w:rFonts w:hint="eastAsia" w:cs="Times New Roman"/>
                <w:sz w:val="18"/>
                <w:szCs w:val="18"/>
                <w:highlight w:val="none"/>
              </w:rPr>
              <w:t>%（年化）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cs="Times New Roman"/>
                <w:sz w:val="18"/>
                <w:szCs w:val="18"/>
                <w:highlight w:val="none"/>
                <w:lang w:val="en-US" w:eastAsia="zh-CN"/>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本理财计划成立日为2020年</w:t>
            </w:r>
            <w:r>
              <w:rPr>
                <w:rFonts w:hint="eastAsia"/>
                <w:sz w:val="18"/>
                <w:szCs w:val="18"/>
              </w:rPr>
              <w:t>2月10日</w:t>
            </w: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lang w:val="en-US" w:eastAsia="zh-CN"/>
              </w:rPr>
              <w:t>184</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184</w:t>
            </w:r>
            <w:r>
              <w:rPr>
                <w:rFonts w:ascii="宋体" w:hAnsi="宋体"/>
                <w:sz w:val="18"/>
                <w:highlight w:val="none"/>
              </w:rPr>
              <w:t>】天。投资周期终止日如遇非工作日则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《温州银行“金鹿理财-温盈”</w:t>
            </w:r>
            <w:r>
              <w:rPr>
                <w:rFonts w:hint="eastAsia"/>
                <w:sz w:val="18"/>
                <w:szCs w:val="18"/>
                <w:highlight w:val="none"/>
                <w:lang w:eastAsia="zh-CN"/>
              </w:rPr>
              <w:t>20010</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cs="Times New Roman"/>
                <w:sz w:val="18"/>
                <w:szCs w:val="18"/>
                <w:highlight w:val="none"/>
                <w:lang w:eastAsia="zh-CN"/>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8</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8</w:t>
            </w:r>
            <w:r>
              <w:rPr>
                <w:rFonts w:hint="eastAsia"/>
                <w:sz w:val="18"/>
                <w:szCs w:val="18"/>
                <w:highlight w:val="none"/>
              </w:rPr>
              <w:t>%（年化）</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单位净值为提取相关费用后的单位理财产品份额净值，单位净值=理财产品估值日理财产品总净值/产品总份额。理财产品总净值=理财产品认购</w:t>
            </w:r>
            <w:r>
              <w:rPr>
                <w:rFonts w:hint="eastAsia" w:ascii="宋体" w:hAnsi="宋体"/>
                <w:sz w:val="18"/>
                <w:highlight w:val="none"/>
              </w:rPr>
              <w:t>（申购）</w:t>
            </w:r>
            <w:r>
              <w:rPr>
                <w:rFonts w:hint="eastAsia" w:ascii="宋体" w:hAnsi="宋体"/>
                <w:kern w:val="0"/>
                <w:sz w:val="18"/>
                <w:szCs w:val="18"/>
                <w:highlight w:val="none"/>
              </w:rPr>
              <w:t>总额-理财产品赎回总额+理财产品所获总收益-理财产品总费用（包括但不限于固定管理费、浮动管理费、托管费及</w:t>
            </w:r>
            <w:r>
              <w:rPr>
                <w:rFonts w:hint="eastAsia"/>
                <w:sz w:val="18"/>
                <w:szCs w:val="18"/>
                <w:highlight w:val="none"/>
              </w:rPr>
              <w:t>税费、</w:t>
            </w:r>
            <w:r>
              <w:rPr>
                <w:rFonts w:hint="eastAsia" w:ascii="宋体" w:hAnsi="宋体"/>
                <w:kern w:val="0"/>
                <w:sz w:val="18"/>
                <w:szCs w:val="18"/>
                <w:highlight w:val="none"/>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w:t>
            </w:r>
            <w:r>
              <w:rPr>
                <w:rFonts w:hint="eastAsia"/>
                <w:color w:val="auto"/>
                <w:sz w:val="18"/>
                <w:szCs w:val="18"/>
                <w:highlight w:val="none"/>
                <w:lang w:val="en-US" w:eastAsia="zh-CN"/>
              </w:rPr>
              <w:t>或电子银行等信息平台</w:t>
            </w:r>
            <w:r>
              <w:rPr>
                <w:rFonts w:hint="eastAsia"/>
                <w:sz w:val="18"/>
                <w:szCs w:val="18"/>
                <w:highlight w:val="none"/>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color w:val="auto"/>
                <w:sz w:val="18"/>
                <w:szCs w:val="18"/>
                <w:highlight w:val="none"/>
              </w:rPr>
              <w:t>理财本金在理财</w:t>
            </w:r>
            <w:r>
              <w:rPr>
                <w:rFonts w:hint="eastAsia" w:cs="Times New Roman"/>
                <w:color w:val="auto"/>
                <w:sz w:val="18"/>
                <w:szCs w:val="18"/>
                <w:highlight w:val="none"/>
                <w:lang w:val="en-US" w:eastAsia="zh-CN"/>
              </w:rPr>
              <w:t>计划成立日/投资周期起始日</w:t>
            </w:r>
            <w:r>
              <w:rPr>
                <w:rFonts w:hint="eastAsia" w:cs="Times New Roman"/>
                <w:color w:val="auto"/>
                <w:sz w:val="18"/>
                <w:szCs w:val="18"/>
                <w:highlight w:val="none"/>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本产品为固定收益类理财产品，温州银行将理财产品募集资金直接或间接配置于存款、</w:t>
      </w:r>
      <w:r>
        <w:rPr>
          <w:rFonts w:hint="eastAsia"/>
          <w:sz w:val="18"/>
          <w:szCs w:val="18"/>
          <w:highlight w:val="none"/>
          <w:lang w:val="en-US" w:eastAsia="zh-CN"/>
        </w:rPr>
        <w:t>债券回购、</w:t>
      </w:r>
      <w:r>
        <w:rPr>
          <w:rFonts w:hint="eastAsia"/>
          <w:sz w:val="18"/>
          <w:szCs w:val="18"/>
          <w:highlight w:val="none"/>
        </w:rPr>
        <w:t>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sz w:val="18"/>
                <w:szCs w:val="18"/>
                <w:highlight w:val="none"/>
                <w:lang w:val="en-US" w:eastAsia="zh-CN"/>
              </w:rPr>
              <w:t>债券回购、</w:t>
            </w:r>
            <w:r>
              <w:rPr>
                <w:rFonts w:hint="eastAsia" w:ascii="宋体" w:hAnsi="宋体" w:cs="宋体"/>
                <w:color w:val="000000"/>
                <w:kern w:val="0"/>
                <w:sz w:val="18"/>
                <w:szCs w:val="18"/>
                <w:highlight w:val="none"/>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0-20%</w:t>
            </w:r>
          </w:p>
        </w:tc>
      </w:tr>
    </w:tbl>
    <w:p>
      <w:pPr>
        <w:adjustRightInd w:val="0"/>
        <w:snapToGrid w:val="0"/>
        <w:spacing w:line="286" w:lineRule="auto"/>
        <w:rPr>
          <w:rFonts w:hint="default" w:eastAsia="宋体"/>
          <w:color w:val="auto"/>
          <w:sz w:val="18"/>
          <w:szCs w:val="18"/>
          <w:highlight w:val="none"/>
          <w:lang w:val="en-US" w:eastAsia="zh-CN"/>
        </w:rPr>
      </w:pPr>
      <w:r>
        <w:rPr>
          <w:rFonts w:hint="eastAsia"/>
          <w:color w:val="auto"/>
          <w:sz w:val="18"/>
          <w:szCs w:val="18"/>
          <w:highlight w:val="none"/>
          <w:lang w:val="en-US" w:eastAsia="zh-CN"/>
        </w:rPr>
        <w:t>本理财产品的杠杆水平不超过140%。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highlight w:val="none"/>
        </w:rPr>
      </w:pPr>
      <w:r>
        <w:rPr>
          <w:rFonts w:hint="eastAsia"/>
          <w:b/>
          <w:sz w:val="18"/>
          <w:szCs w:val="18"/>
          <w:highlight w:val="none"/>
        </w:rPr>
        <w:t>产品销售</w:t>
      </w:r>
    </w:p>
    <w:p>
      <w:pPr>
        <w:adjustRightInd w:val="0"/>
        <w:snapToGrid w:val="0"/>
        <w:spacing w:line="281"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p>
      <w:pPr>
        <w:adjustRightInd w:val="0"/>
        <w:snapToGrid w:val="0"/>
        <w:spacing w:line="286" w:lineRule="auto"/>
        <w:rPr>
          <w:rFonts w:hint="eastAsia"/>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产品托管人</w:t>
      </w:r>
    </w:p>
    <w:p>
      <w:pPr>
        <w:adjustRightInd w:val="0"/>
        <w:snapToGrid w:val="0"/>
        <w:spacing w:line="286" w:lineRule="auto"/>
        <w:rPr>
          <w:rFonts w:hint="eastAsia"/>
          <w:b/>
          <w:bCs/>
          <w:color w:val="auto"/>
          <w:sz w:val="18"/>
          <w:szCs w:val="18"/>
          <w:highlight w:val="none"/>
        </w:rPr>
      </w:pPr>
      <w:r>
        <w:rPr>
          <w:rFonts w:hint="eastAsia"/>
          <w:sz w:val="18"/>
          <w:szCs w:val="18"/>
          <w:highlight w:val="none"/>
        </w:rPr>
        <w:t>本产品的</w:t>
      </w:r>
      <w:r>
        <w:rPr>
          <w:rFonts w:hint="eastAsia"/>
          <w:sz w:val="18"/>
          <w:szCs w:val="18"/>
          <w:highlight w:val="none"/>
          <w:lang w:val="en-US" w:eastAsia="zh-CN"/>
        </w:rPr>
        <w:t>托管人为</w:t>
      </w:r>
      <w:r>
        <w:rPr>
          <w:rFonts w:hint="eastAsia"/>
          <w:b w:val="0"/>
          <w:bCs w:val="0"/>
          <w:sz w:val="18"/>
          <w:szCs w:val="18"/>
          <w:highlight w:val="none"/>
          <w:lang w:val="en-US" w:eastAsia="zh-CN"/>
        </w:rPr>
        <w:t>宁波</w:t>
      </w:r>
      <w:r>
        <w:rPr>
          <w:rFonts w:hint="default"/>
          <w:b w:val="0"/>
          <w:bCs w:val="0"/>
          <w:sz w:val="18"/>
          <w:szCs w:val="18"/>
          <w:highlight w:val="none"/>
          <w:lang w:val="en-US" w:eastAsia="zh-CN"/>
        </w:rPr>
        <w:t>银行股份有限公司</w:t>
      </w:r>
      <w:r>
        <w:rPr>
          <w:rFonts w:hint="eastAsia"/>
          <w:b w:val="0"/>
          <w:bCs w:val="0"/>
          <w:sz w:val="18"/>
          <w:szCs w:val="18"/>
          <w:highlight w:val="none"/>
          <w:lang w:val="en-US" w:eastAsia="zh-CN"/>
        </w:rPr>
        <w:t>，负责履行国务院银行业监督管理机构规定及托管合同约定的职责，包括但不限于</w:t>
      </w:r>
      <w:r>
        <w:rPr>
          <w:rFonts w:hint="eastAsia"/>
          <w:sz w:val="18"/>
          <w:szCs w:val="18"/>
          <w:highlight w:val="none"/>
        </w:rPr>
        <w:t>提供包括账户开立、资金保管、资金结算、估值核对</w:t>
      </w:r>
      <w:r>
        <w:rPr>
          <w:rFonts w:hint="eastAsia"/>
          <w:sz w:val="18"/>
          <w:szCs w:val="18"/>
          <w:highlight w:val="none"/>
          <w:lang w:eastAsia="zh-CN"/>
        </w:rPr>
        <w:t>、</w:t>
      </w:r>
      <w:r>
        <w:rPr>
          <w:rFonts w:hint="eastAsia"/>
          <w:sz w:val="18"/>
          <w:szCs w:val="18"/>
          <w:highlight w:val="none"/>
        </w:rPr>
        <w:t>办理与理财产品托管业务活动相关的信息披露事项等理财产品托管服务。</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w:t>
      </w:r>
      <w:r>
        <w:rPr>
          <w:rFonts w:hint="eastAsia"/>
          <w:sz w:val="18"/>
          <w:szCs w:val="18"/>
          <w:highlight w:val="none"/>
          <w:lang w:val="en-US" w:eastAsia="zh-CN"/>
        </w:rPr>
        <w:t>及债券回购</w:t>
      </w:r>
      <w:r>
        <w:rPr>
          <w:rFonts w:hint="eastAsia"/>
          <w:sz w:val="18"/>
          <w:szCs w:val="18"/>
          <w:highlight w:val="none"/>
        </w:rPr>
        <w:t>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（2）货币基金</w:t>
      </w:r>
      <w:r>
        <w:rPr>
          <w:rFonts w:hint="eastAsia"/>
          <w:sz w:val="18"/>
          <w:szCs w:val="18"/>
          <w:highlight w:val="none"/>
          <w:lang w:eastAsia="zh-CN"/>
        </w:rPr>
        <w:t>：</w:t>
      </w:r>
      <w:r>
        <w:rPr>
          <w:rFonts w:hint="eastAsia"/>
          <w:sz w:val="18"/>
          <w:szCs w:val="18"/>
          <w:highlight w:val="none"/>
        </w:rPr>
        <w:t>如基金管理人披露份额净值，则按所投资基金的基金管理人披露的最近估值日份额净值进行估值；如基金管理人披露万份（</w:t>
      </w:r>
      <w:r>
        <w:rPr>
          <w:rFonts w:hint="eastAsia"/>
          <w:sz w:val="18"/>
          <w:szCs w:val="18"/>
          <w:highlight w:val="none"/>
          <w:lang w:val="en-US" w:eastAsia="zh-CN"/>
        </w:rPr>
        <w:t>/</w:t>
      </w:r>
      <w:r>
        <w:rPr>
          <w:rFonts w:hint="eastAsia"/>
          <w:sz w:val="18"/>
          <w:szCs w:val="18"/>
          <w:highlight w:val="none"/>
        </w:rPr>
        <w:t>百份）收益，则按所投资基金前一估值日后至估值日期间（含节假日）的万份（</w:t>
      </w:r>
      <w:r>
        <w:rPr>
          <w:rFonts w:hint="eastAsia"/>
          <w:sz w:val="18"/>
          <w:szCs w:val="18"/>
          <w:highlight w:val="none"/>
          <w:lang w:val="en-US" w:eastAsia="zh-CN"/>
        </w:rPr>
        <w:t>/</w:t>
      </w:r>
      <w:r>
        <w:rPr>
          <w:rFonts w:hint="eastAsia"/>
          <w:sz w:val="18"/>
          <w:szCs w:val="18"/>
          <w:highlight w:val="none"/>
        </w:rPr>
        <w:t xml:space="preserve">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rFonts w:hint="default"/>
          <w:sz w:val="18"/>
          <w:szCs w:val="18"/>
          <w:highlight w:val="none"/>
          <w:lang w:val="en-US"/>
        </w:rPr>
        <w:t>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债券</w:t>
      </w:r>
      <w:r>
        <w:rPr>
          <w:rFonts w:hint="eastAsia"/>
          <w:sz w:val="18"/>
          <w:szCs w:val="18"/>
          <w:highlight w:val="none"/>
          <w:lang w:val="en-US" w:eastAsia="zh-CN"/>
        </w:rPr>
        <w:t>类资产</w:t>
      </w:r>
      <w:r>
        <w:rPr>
          <w:rFonts w:hint="eastAsia"/>
          <w:sz w:val="18"/>
          <w:szCs w:val="18"/>
          <w:highlight w:val="none"/>
        </w:rPr>
        <w:t>按市价法估值。</w:t>
      </w:r>
      <w:r>
        <w:rPr>
          <w:rFonts w:hint="eastAsia"/>
          <w:sz w:val="18"/>
          <w:szCs w:val="18"/>
          <w:highlight w:val="none"/>
          <w:lang w:val="en-US" w:eastAsia="zh-CN"/>
        </w:rPr>
        <w:t>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债权类资产</w:t>
      </w:r>
      <w:r>
        <w:rPr>
          <w:rFonts w:hint="eastAsia"/>
          <w:sz w:val="18"/>
          <w:szCs w:val="18"/>
          <w:highlight w:val="none"/>
          <w:lang w:val="en-US" w:eastAsia="zh-CN"/>
        </w:rPr>
        <w:t>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w:t>
      </w:r>
      <w:r>
        <w:rPr>
          <w:rFonts w:hint="eastAsia"/>
          <w:sz w:val="18"/>
          <w:szCs w:val="18"/>
          <w:highlight w:val="none"/>
          <w:lang w:eastAsia="zh-CN"/>
        </w:rPr>
        <w:t>、</w:t>
      </w:r>
      <w:r>
        <w:rPr>
          <w:rFonts w:hint="eastAsia"/>
          <w:sz w:val="18"/>
          <w:szCs w:val="18"/>
          <w:highlight w:val="none"/>
          <w:lang w:val="en-US" w:eastAsia="zh-CN"/>
        </w:rPr>
        <w:t>证券、</w:t>
      </w:r>
      <w:r>
        <w:rPr>
          <w:rFonts w:hint="eastAsia"/>
          <w:sz w:val="18"/>
          <w:szCs w:val="18"/>
          <w:highlight w:val="none"/>
        </w:rPr>
        <w:t>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w:t>
      </w:r>
      <w:r>
        <w:rPr>
          <w:rFonts w:hint="eastAsia"/>
          <w:sz w:val="18"/>
          <w:szCs w:val="18"/>
          <w:highlight w:val="none"/>
          <w:lang w:eastAsia="zh-CN"/>
        </w:rPr>
        <w:t>、</w:t>
      </w:r>
      <w:r>
        <w:rPr>
          <w:rFonts w:hint="eastAsia"/>
          <w:sz w:val="18"/>
          <w:szCs w:val="18"/>
          <w:highlight w:val="none"/>
        </w:rPr>
        <w:t>保险等资产管理计划和信托计划的管理人</w:t>
      </w:r>
      <w:r>
        <w:rPr>
          <w:rFonts w:hint="eastAsia"/>
          <w:sz w:val="18"/>
          <w:szCs w:val="18"/>
          <w:highlight w:val="none"/>
          <w:lang w:val="en-US" w:eastAsia="zh-CN"/>
        </w:rPr>
        <w:t>提供</w:t>
      </w:r>
      <w:r>
        <w:rPr>
          <w:rFonts w:hint="eastAsia"/>
          <w:sz w:val="18"/>
          <w:szCs w:val="18"/>
          <w:highlight w:val="none"/>
        </w:rPr>
        <w:t>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numPr>
          <w:ilvl w:val="0"/>
          <w:numId w:val="0"/>
        </w:numPr>
        <w:adjustRightInd w:val="0"/>
        <w:snapToGrid w:val="0"/>
        <w:spacing w:line="286" w:lineRule="auto"/>
        <w:ind w:left="0" w:firstLine="0" w:firstLineChars="0"/>
        <w:rPr>
          <w:rFonts w:hint="eastAsia" w:ascii="Times New Roman" w:hAnsi="Times New Roman" w:eastAsia="宋体" w:cs="Times New Roman"/>
          <w:sz w:val="18"/>
          <w:szCs w:val="18"/>
          <w:highlight w:val="none"/>
        </w:rPr>
      </w:pPr>
      <w:r>
        <w:rPr>
          <w:rFonts w:hint="eastAsia" w:cs="Times New Roman"/>
          <w:sz w:val="18"/>
          <w:szCs w:val="18"/>
          <w:highlight w:val="none"/>
          <w:lang w:eastAsia="zh-CN"/>
        </w:rPr>
        <w:t>【</w:t>
      </w:r>
      <w:r>
        <w:rPr>
          <w:rFonts w:hint="eastAsia" w:ascii="Times New Roman" w:hAnsi="Times New Roman" w:eastAsia="宋体" w:cs="Times New Roman"/>
          <w:sz w:val="18"/>
          <w:szCs w:val="18"/>
          <w:highlight w:val="none"/>
        </w:rPr>
        <w:t>暂停估值</w:t>
      </w:r>
      <w:r>
        <w:rPr>
          <w:rFonts w:hint="eastAsia" w:cs="Times New Roman"/>
          <w:sz w:val="18"/>
          <w:szCs w:val="18"/>
          <w:highlight w:val="none"/>
          <w:lang w:eastAsia="zh-CN"/>
        </w:rPr>
        <w:t>】</w:t>
      </w:r>
    </w:p>
    <w:p>
      <w:pPr>
        <w:adjustRightInd w:val="0"/>
        <w:snapToGrid w:val="0"/>
        <w:spacing w:line="286" w:lineRule="auto"/>
        <w:ind w:firstLine="0" w:firstLineChars="0"/>
        <w:rPr>
          <w:rFonts w:hint="eastAsia" w:ascii="Times New Roman" w:hAnsi="Times New Roman" w:eastAsia="宋体"/>
          <w:sz w:val="18"/>
          <w:szCs w:val="18"/>
          <w:highlight w:val="none"/>
        </w:rPr>
      </w:pPr>
      <w:r>
        <w:rPr>
          <w:rFonts w:hint="eastAsia" w:ascii="Times New Roman" w:hAnsi="Times New Roman" w:eastAsia="宋体"/>
          <w:sz w:val="18"/>
          <w:szCs w:val="18"/>
          <w:highlight w:val="none"/>
        </w:rPr>
        <w:t>理财产品投资所涉及的证券交易所遇法定节假日或其他原因暂停营业时，或因任何不可抗力致使无法准确评估资产价值时，</w:t>
      </w:r>
      <w:r>
        <w:rPr>
          <w:rFonts w:hint="eastAsia" w:ascii="Times New Roman" w:hAnsi="Times New Roman" w:eastAsia="宋体"/>
          <w:sz w:val="18"/>
          <w:szCs w:val="18"/>
          <w:highlight w:val="none"/>
          <w:lang w:val="en-US" w:eastAsia="zh-CN"/>
        </w:rPr>
        <w:t>或</w:t>
      </w:r>
      <w:r>
        <w:rPr>
          <w:rFonts w:hint="eastAsia" w:eastAsia="宋体"/>
          <w:sz w:val="18"/>
          <w:szCs w:val="18"/>
          <w:highlight w:val="none"/>
          <w:lang w:val="en-US" w:eastAsia="zh-CN"/>
        </w:rPr>
        <w:t>存在中国银保监会认定的导致无法准确估值的其它情形时</w:t>
      </w:r>
      <w:r>
        <w:rPr>
          <w:rFonts w:hint="eastAsia" w:ascii="Times New Roman" w:hAnsi="Times New Roman" w:eastAsia="宋体"/>
          <w:sz w:val="18"/>
          <w:szCs w:val="18"/>
          <w:highlight w:val="none"/>
          <w:lang w:val="en-US" w:eastAsia="zh-CN"/>
        </w:rPr>
        <w:t>，</w:t>
      </w:r>
      <w:r>
        <w:rPr>
          <w:rFonts w:hint="eastAsia" w:ascii="Times New Roman" w:hAnsi="Times New Roman" w:eastAsia="宋体"/>
          <w:sz w:val="18"/>
          <w:szCs w:val="18"/>
          <w:highlight w:val="none"/>
        </w:rPr>
        <w:t>可暂停估值</w:t>
      </w:r>
      <w:r>
        <w:rPr>
          <w:rFonts w:hint="eastAsia" w:eastAsia="宋体"/>
          <w:sz w:val="18"/>
          <w:szCs w:val="18"/>
          <w:highlight w:val="none"/>
          <w:lang w:eastAsia="zh-CN"/>
        </w:rPr>
        <w:t>，</w:t>
      </w:r>
      <w:r>
        <w:rPr>
          <w:rFonts w:hint="eastAsia" w:eastAsia="宋体"/>
          <w:sz w:val="18"/>
          <w:szCs w:val="18"/>
          <w:highlight w:val="none"/>
          <w:lang w:val="en-US" w:eastAsia="zh-CN"/>
        </w:rPr>
        <w:t>由此造成的损失，产品管理人和托管人不承担责任</w:t>
      </w:r>
      <w:r>
        <w:rPr>
          <w:rFonts w:hint="eastAsia" w:ascii="Times New Roman" w:hAnsi="Times New Roman" w:eastAsia="宋体"/>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《温州银行“金鹿理财-温盈”</w:t>
      </w:r>
      <w:r>
        <w:rPr>
          <w:rFonts w:hint="eastAsia"/>
          <w:sz w:val="18"/>
          <w:szCs w:val="18"/>
          <w:highlight w:val="none"/>
          <w:lang w:eastAsia="zh-CN"/>
        </w:rPr>
        <w:t>20010</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1.投资</w:t>
      </w:r>
      <w:r>
        <w:rPr>
          <w:rFonts w:hint="eastAsia"/>
          <w:sz w:val="18"/>
          <w:szCs w:val="18"/>
          <w:highlight w:val="none"/>
        </w:rPr>
        <w:t>运作</w:t>
      </w:r>
      <w:r>
        <w:rPr>
          <w:sz w:val="18"/>
          <w:szCs w:val="18"/>
          <w:highlight w:val="none"/>
        </w:rPr>
        <w:t>周期</w:t>
      </w:r>
      <w:r>
        <w:rPr>
          <w:rFonts w:hint="eastAsia"/>
          <w:sz w:val="18"/>
          <w:szCs w:val="18"/>
          <w:highlight w:val="none"/>
        </w:rPr>
        <w:t>：本理财计划成立日为2020年</w:t>
      </w:r>
      <w:r>
        <w:rPr>
          <w:rFonts w:hint="eastAsia"/>
          <w:sz w:val="18"/>
          <w:szCs w:val="18"/>
        </w:rPr>
        <w:t>2月10日</w:t>
      </w:r>
      <w:r>
        <w:rPr>
          <w:rFonts w:hint="eastAsia"/>
          <w:sz w:val="18"/>
          <w:szCs w:val="18"/>
          <w:highlight w:val="none"/>
        </w:rPr>
        <w:t>，从成立日起，每</w:t>
      </w:r>
      <w:r>
        <w:rPr>
          <w:rFonts w:ascii="宋体" w:hAnsi="宋体"/>
          <w:sz w:val="18"/>
          <w:highlight w:val="none"/>
        </w:rPr>
        <w:t>【</w:t>
      </w:r>
      <w:r>
        <w:rPr>
          <w:rFonts w:hint="eastAsia" w:ascii="宋体" w:hAnsi="宋体"/>
          <w:sz w:val="18"/>
          <w:highlight w:val="none"/>
          <w:lang w:val="en-US" w:eastAsia="zh-CN"/>
        </w:rPr>
        <w:t>184</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184</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）投资者可于开放期内向温州银行提出赎回申请，温州银行按照先申请、先赎回原则确认赎回申请，如该赎回日内净赎回份额合计超过理财产品总份额的2</w:t>
      </w:r>
      <w:r>
        <w:rPr>
          <w:sz w:val="18"/>
          <w:szCs w:val="18"/>
          <w:highlight w:val="none"/>
        </w:rPr>
        <w:t>0%，则发生</w:t>
      </w:r>
      <w:r>
        <w:rPr>
          <w:rFonts w:hint="eastAsia"/>
          <w:sz w:val="18"/>
          <w:szCs w:val="18"/>
          <w:highlight w:val="none"/>
        </w:rPr>
        <w:t>巨额赎回事件，温州银行有权拒绝接受超过2</w:t>
      </w:r>
      <w:r>
        <w:rPr>
          <w:sz w:val="18"/>
          <w:szCs w:val="18"/>
          <w:highlight w:val="none"/>
        </w:rPr>
        <w:t>0%以上部分的赎回申请。</w:t>
      </w:r>
    </w:p>
    <w:p>
      <w:pPr>
        <w:adjustRightInd w:val="0"/>
        <w:snapToGrid w:val="0"/>
        <w:spacing w:line="286" w:lineRule="auto"/>
        <w:rPr>
          <w:sz w:val="18"/>
          <w:szCs w:val="18"/>
          <w:highlight w:val="none"/>
        </w:rPr>
      </w:pPr>
      <w:r>
        <w:rPr>
          <w:rFonts w:hint="eastAsia"/>
          <w:sz w:val="18"/>
          <w:szCs w:val="18"/>
          <w:highlight w:val="none"/>
        </w:rPr>
        <w:t>示例：如果最新理财计划总存续份额为1</w:t>
      </w:r>
      <w:r>
        <w:rPr>
          <w:sz w:val="18"/>
          <w:szCs w:val="18"/>
          <w:highlight w:val="none"/>
        </w:rPr>
        <w:t>0</w:t>
      </w:r>
      <w:r>
        <w:rPr>
          <w:rFonts w:hint="eastAsia"/>
          <w:sz w:val="18"/>
          <w:szCs w:val="18"/>
          <w:highlight w:val="none"/>
        </w:rPr>
        <w:t>亿份，在开放期内投资者净赎回达到</w:t>
      </w:r>
      <w:r>
        <w:rPr>
          <w:sz w:val="18"/>
          <w:szCs w:val="18"/>
          <w:highlight w:val="none"/>
        </w:rPr>
        <w:t>2</w:t>
      </w:r>
      <w:r>
        <w:rPr>
          <w:rFonts w:hint="eastAsia"/>
          <w:sz w:val="18"/>
          <w:szCs w:val="18"/>
          <w:highlight w:val="none"/>
        </w:rPr>
        <w:t>亿份，温州银行有权拒绝确认</w:t>
      </w:r>
      <w:r>
        <w:rPr>
          <w:sz w:val="18"/>
          <w:szCs w:val="18"/>
          <w:highlight w:val="none"/>
        </w:rPr>
        <w:t>2</w:t>
      </w:r>
      <w:r>
        <w:rPr>
          <w:rFonts w:hint="eastAsia"/>
          <w:sz w:val="18"/>
          <w:szCs w:val="18"/>
          <w:highlight w:val="none"/>
        </w:rPr>
        <w:t>亿份之后的赎回申请，相应的投资者当期无法赎回理财计划份额。</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万元或人民币</w:t>
      </w:r>
      <w:r>
        <w:rPr>
          <w:sz w:val="18"/>
          <w:szCs w:val="18"/>
          <w:highlight w:val="none"/>
        </w:rPr>
        <w:t>1</w:t>
      </w:r>
      <w:r>
        <w:rPr>
          <w:rFonts w:hint="eastAsia"/>
          <w:sz w:val="18"/>
          <w:szCs w:val="18"/>
          <w:highlight w:val="none"/>
        </w:rPr>
        <w:t>万元的整数倍。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6</w:t>
      </w:r>
      <w:r>
        <w:rPr>
          <w:sz w:val="18"/>
          <w:szCs w:val="18"/>
          <w:highlight w:val="none"/>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申购份数＝100万元人民币÷1.0250＝975609.76份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理财计划采用“份额赎回”方式，赎回价格以赎回日的理财计划份额净值为基准进行计算,计算公式如下：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赎回费＝赎回金额×赎回费率，本计划赎回费率为0</w:t>
      </w:r>
      <w:r>
        <w:rPr>
          <w:rFonts w:hint="eastAsia"/>
          <w:sz w:val="18"/>
          <w:szCs w:val="18"/>
          <w:highlight w:val="none"/>
          <w:lang w:eastAsia="zh-CN"/>
        </w:rPr>
        <w:t>。</w:t>
      </w:r>
    </w:p>
    <w:p>
      <w:pPr>
        <w:adjustRightInd w:val="0"/>
        <w:snapToGrid w:val="0"/>
        <w:spacing w:line="286" w:lineRule="auto"/>
        <w:rPr>
          <w:rFonts w:hint="eastAsia"/>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【终止（提前终止）】</w:t>
      </w:r>
    </w:p>
    <w:p>
      <w:pPr>
        <w:adjustRightInd w:val="0"/>
        <w:snapToGrid w:val="0"/>
        <w:spacing w:line="286" w:lineRule="auto"/>
        <w:rPr>
          <w:rFonts w:hint="eastAsia"/>
          <w:sz w:val="18"/>
          <w:szCs w:val="18"/>
          <w:highlight w:val="none"/>
        </w:rPr>
      </w:pPr>
      <w:r>
        <w:rPr>
          <w:rFonts w:hint="eastAsia"/>
          <w:sz w:val="18"/>
          <w:szCs w:val="18"/>
          <w:highlight w:val="none"/>
        </w:rPr>
        <w:t>本产品预计到期终止日为20</w:t>
      </w:r>
      <w:r>
        <w:rPr>
          <w:rFonts w:hint="eastAsia"/>
          <w:sz w:val="18"/>
          <w:szCs w:val="18"/>
          <w:highlight w:val="none"/>
          <w:lang w:val="en-US" w:eastAsia="zh-CN"/>
        </w:rPr>
        <w:t>3</w:t>
      </w:r>
      <w:r>
        <w:rPr>
          <w:rFonts w:hint="eastAsia"/>
          <w:sz w:val="18"/>
          <w:szCs w:val="18"/>
          <w:highlight w:val="none"/>
        </w:rPr>
        <w:t>0年</w:t>
      </w:r>
      <w:r>
        <w:rPr>
          <w:rFonts w:hint="eastAsia"/>
          <w:sz w:val="18"/>
          <w:szCs w:val="18"/>
        </w:rPr>
        <w:t>2月10日</w:t>
      </w:r>
      <w:r>
        <w:rPr>
          <w:rFonts w:hint="eastAsia"/>
          <w:color w:val="000000"/>
          <w:sz w:val="18"/>
          <w:highlight w:val="none"/>
        </w:rPr>
        <w:t>，</w:t>
      </w:r>
      <w:r>
        <w:rPr>
          <w:rFonts w:hint="eastAsia"/>
          <w:sz w:val="18"/>
          <w:szCs w:val="18"/>
          <w:highlight w:val="none"/>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color w:val="auto"/>
          <w:sz w:val="18"/>
          <w:szCs w:val="18"/>
          <w:highlight w:val="none"/>
        </w:rPr>
      </w:pPr>
      <w:r>
        <w:rPr>
          <w:rFonts w:hint="eastAsia"/>
          <w:color w:val="auto"/>
          <w:sz w:val="18"/>
          <w:szCs w:val="18"/>
          <w:highlight w:val="none"/>
        </w:rPr>
        <w:t>理财管理人对委托资产收取的固定管理费，理财计划财产的年固定管理费率为0.</w:t>
      </w:r>
      <w:r>
        <w:rPr>
          <w:rFonts w:hint="eastAsia"/>
          <w:color w:val="auto"/>
          <w:sz w:val="18"/>
          <w:szCs w:val="18"/>
          <w:highlight w:val="none"/>
          <w:lang w:val="en-US" w:eastAsia="zh-CN"/>
        </w:rPr>
        <w:t>8</w:t>
      </w:r>
      <w:r>
        <w:rPr>
          <w:rFonts w:hint="eastAsia"/>
          <w:color w:val="auto"/>
          <w:sz w:val="18"/>
          <w:szCs w:val="18"/>
          <w:highlight w:val="none"/>
        </w:rPr>
        <w:t>%（最高），计算方法如下：</w:t>
      </w:r>
    </w:p>
    <w:p>
      <w:pPr>
        <w:adjustRightInd w:val="0"/>
        <w:snapToGrid w:val="0"/>
        <w:spacing w:line="288" w:lineRule="auto"/>
        <w:rPr>
          <w:rFonts w:hint="eastAsia"/>
          <w:color w:val="auto"/>
          <w:sz w:val="18"/>
          <w:szCs w:val="18"/>
          <w:highlight w:val="none"/>
        </w:rPr>
      </w:pPr>
      <w:r>
        <w:rPr>
          <w:rFonts w:hint="eastAsia"/>
          <w:color w:val="auto"/>
          <w:sz w:val="18"/>
          <w:szCs w:val="18"/>
          <w:highlight w:val="none"/>
        </w:rPr>
        <w:t>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期末累计单位净值年化增长率超过业绩比较基准，则温州银行按0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%（年化）收取固定管理费；若本理财产品扣除产品固定管理费、托管费及其他费用（如有）后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期末累计单位净值年化增长率低于业绩比较基准，则温州银行将减免与业绩比较基准的差额部分，减免上限最高不超过0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w:t>
      </w:r>
      <w:r>
        <w:rPr>
          <w:color w:val="auto"/>
          <w:sz w:val="18"/>
          <w:szCs w:val="18"/>
          <w:highlight w:val="none"/>
        </w:rPr>
        <w:t>。</w:t>
      </w:r>
      <w:r>
        <w:rPr>
          <w:rFonts w:hint="eastAsia"/>
          <w:color w:val="auto"/>
          <w:sz w:val="18"/>
          <w:szCs w:val="18"/>
          <w:highlight w:val="none"/>
        </w:rPr>
        <w:t>计算方法如下：</w:t>
      </w:r>
    </w:p>
    <w:p>
      <w:pPr>
        <w:adjustRightInd w:val="0"/>
        <w:snapToGrid w:val="0"/>
        <w:spacing w:line="286" w:lineRule="auto"/>
        <w:rPr>
          <w:color w:val="auto"/>
          <w:sz w:val="18"/>
          <w:szCs w:val="18"/>
          <w:highlight w:val="none"/>
        </w:rPr>
      </w:pPr>
      <w:r>
        <w:rPr>
          <w:rFonts w:hint="eastAsia"/>
          <w:color w:val="auto"/>
          <w:sz w:val="18"/>
          <w:szCs w:val="18"/>
          <w:highlight w:val="none"/>
        </w:rPr>
        <w:t>H＝E×固定管理费率÷365</w:t>
      </w:r>
    </w:p>
    <w:p>
      <w:pPr>
        <w:adjustRightInd w:val="0"/>
        <w:snapToGrid w:val="0"/>
        <w:spacing w:line="286" w:lineRule="auto"/>
        <w:rPr>
          <w:color w:val="auto"/>
          <w:sz w:val="18"/>
          <w:szCs w:val="18"/>
          <w:highlight w:val="none"/>
        </w:rPr>
      </w:pPr>
      <w:r>
        <w:rPr>
          <w:rFonts w:hint="eastAsia"/>
          <w:color w:val="auto"/>
          <w:sz w:val="18"/>
          <w:szCs w:val="18"/>
          <w:highlight w:val="none"/>
        </w:rPr>
        <w:t>H为每日应计提的固定管理费</w:t>
      </w:r>
    </w:p>
    <w:p>
      <w:pPr>
        <w:adjustRightInd w:val="0"/>
        <w:snapToGrid w:val="0"/>
        <w:spacing w:line="286" w:lineRule="auto"/>
        <w:rPr>
          <w:color w:val="auto"/>
          <w:sz w:val="18"/>
          <w:szCs w:val="18"/>
          <w:highlight w:val="none"/>
        </w:rPr>
      </w:pPr>
      <w:r>
        <w:rPr>
          <w:rFonts w:hint="eastAsia"/>
          <w:color w:val="auto"/>
          <w:sz w:val="18"/>
          <w:szCs w:val="18"/>
          <w:highlight w:val="none"/>
        </w:rPr>
        <w:t>E为本计划前一日资产净值</w:t>
      </w:r>
    </w:p>
    <w:p>
      <w:pPr>
        <w:adjustRightInd w:val="0"/>
        <w:snapToGrid w:val="0"/>
        <w:spacing w:line="286" w:lineRule="auto"/>
        <w:rPr>
          <w:color w:val="auto"/>
          <w:sz w:val="18"/>
          <w:szCs w:val="18"/>
          <w:highlight w:val="none"/>
        </w:rPr>
      </w:pPr>
      <w:r>
        <w:rPr>
          <w:rFonts w:hint="eastAsia"/>
          <w:color w:val="auto"/>
          <w:sz w:val="18"/>
          <w:szCs w:val="18"/>
          <w:highlight w:val="none"/>
        </w:rPr>
        <w:t>第一日固定管理费为第一日委托资产本金×固定管理费率÷</w:t>
      </w:r>
      <w:r>
        <w:rPr>
          <w:color w:val="auto"/>
          <w:sz w:val="18"/>
          <w:szCs w:val="18"/>
          <w:highlight w:val="none"/>
        </w:rPr>
        <w:t>365</w:t>
      </w:r>
      <w:r>
        <w:rPr>
          <w:rFonts w:hint="eastAsia"/>
          <w:color w:val="auto"/>
          <w:sz w:val="18"/>
          <w:szCs w:val="18"/>
          <w:highlight w:val="none"/>
        </w:rPr>
        <w:t>。</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固定管理</w:t>
      </w:r>
      <w:r>
        <w:rPr>
          <w:rFonts w:hint="eastAsia"/>
          <w:color w:val="auto"/>
          <w:sz w:val="18"/>
          <w:szCs w:val="18"/>
          <w:highlight w:val="none"/>
          <w:lang w:val="en-US" w:eastAsia="zh-CN"/>
        </w:rPr>
        <w:t>费</w:t>
      </w:r>
      <w:r>
        <w:rPr>
          <w:rFonts w:hint="eastAsia"/>
          <w:color w:val="auto"/>
          <w:sz w:val="18"/>
          <w:szCs w:val="18"/>
          <w:highlight w:val="none"/>
        </w:rPr>
        <w:t>原则上按日计提，逐日累计至</w:t>
      </w:r>
      <w:r>
        <w:rPr>
          <w:rFonts w:hint="eastAsia"/>
          <w:color w:val="auto"/>
          <w:sz w:val="18"/>
          <w:szCs w:val="18"/>
          <w:highlight w:val="none"/>
          <w:lang w:val="en-US" w:eastAsia="zh-CN"/>
        </w:rPr>
        <w:t>每个投资运作周期</w:t>
      </w:r>
      <w:r>
        <w:rPr>
          <w:rFonts w:hint="eastAsia"/>
          <w:color w:val="auto"/>
          <w:sz w:val="18"/>
          <w:szCs w:val="18"/>
          <w:highlight w:val="none"/>
        </w:rPr>
        <w:t>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（3）浮动管理费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w:t>
      </w:r>
      <w:r>
        <w:rPr>
          <w:rFonts w:hint="eastAsia"/>
          <w:sz w:val="18"/>
          <w:szCs w:val="18"/>
          <w:highlight w:val="none"/>
          <w:lang w:val="en-US" w:eastAsia="zh-CN"/>
        </w:rPr>
        <w:t>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到期日</w:t>
      </w:r>
      <w:r>
        <w:rPr>
          <w:b/>
          <w:sz w:val="18"/>
          <w:szCs w:val="18"/>
          <w:highlight w:val="none"/>
        </w:rPr>
        <w:t>和利益分配</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 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sz w:val="18"/>
          <w:szCs w:val="18"/>
          <w:highlight w:val="none"/>
        </w:rPr>
        <w:t>.</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理财计划到期日份额净值-</w:t>
      </w:r>
      <w:r>
        <w:rPr>
          <w:rFonts w:hint="eastAsia" w:ascii="宋体" w:hAnsi="宋体"/>
          <w:sz w:val="18"/>
          <w:highlight w:val="none"/>
          <w:lang w:val="zh-CN"/>
        </w:rPr>
        <w:t>认购（申购）确认日前一自然日</w:t>
      </w:r>
      <w:r>
        <w:rPr>
          <w:rFonts w:hint="eastAsia"/>
          <w:sz w:val="18"/>
          <w:szCs w:val="18"/>
          <w:highlight w:val="none"/>
        </w:rPr>
        <w:t>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．理财计划在理财计划到期日到期时，如理财计划项下财产全部变现，温州银行在理财计划到期日后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将提前2个工作日</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adjustRightInd w:val="0"/>
        <w:snapToGrid w:val="0"/>
        <w:spacing w:line="286" w:lineRule="auto"/>
        <w:rPr>
          <w:b/>
          <w:sz w:val="18"/>
          <w:szCs w:val="18"/>
          <w:highlight w:val="none"/>
        </w:rPr>
      </w:pPr>
      <w:r>
        <w:rPr>
          <w:rFonts w:hint="eastAsia"/>
          <w:b/>
          <w:sz w:val="18"/>
          <w:szCs w:val="18"/>
          <w:highlight w:val="none"/>
        </w:rPr>
        <w:t>税费规定</w:t>
      </w:r>
    </w:p>
    <w:p>
      <w:pPr>
        <w:adjustRightInd w:val="0"/>
        <w:snapToGrid w:val="0"/>
        <w:spacing w:line="281" w:lineRule="auto"/>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color w:val="auto"/>
          <w:sz w:val="18"/>
          <w:szCs w:val="18"/>
          <w:highlight w:val="none"/>
        </w:rPr>
      </w:pPr>
      <w:r>
        <w:rPr>
          <w:color w:val="auto"/>
          <w:sz w:val="18"/>
          <w:szCs w:val="18"/>
          <w:highlight w:val="none"/>
        </w:rPr>
        <w:t>4</w:t>
      </w:r>
      <w:r>
        <w:rPr>
          <w:rFonts w:hint="eastAsia"/>
          <w:color w:val="auto"/>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color w:val="auto"/>
          <w:sz w:val="18"/>
          <w:szCs w:val="18"/>
          <w:highlight w:val="none"/>
          <w:u w:val="single"/>
        </w:rPr>
        <w:t>非开放期不得提前赎回</w:t>
      </w:r>
      <w:r>
        <w:rPr>
          <w:rFonts w:hint="eastAsia"/>
          <w:color w:val="auto"/>
          <w:sz w:val="18"/>
          <w:szCs w:val="18"/>
          <w:highlight w:val="none"/>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color w:val="auto"/>
          <w:sz w:val="18"/>
          <w:szCs w:val="18"/>
          <w:highlight w:val="none"/>
        </w:rPr>
      </w:pPr>
      <w:r>
        <w:rPr>
          <w:color w:val="auto"/>
          <w:sz w:val="18"/>
          <w:szCs w:val="18"/>
          <w:highlight w:val="none"/>
        </w:rPr>
        <w:t>5</w:t>
      </w:r>
      <w:r>
        <w:rPr>
          <w:rFonts w:hint="eastAsia"/>
          <w:color w:val="auto"/>
          <w:sz w:val="18"/>
          <w:szCs w:val="18"/>
          <w:highlight w:val="none"/>
        </w:rPr>
        <w:t>、市场风险：</w:t>
      </w:r>
      <w:r>
        <w:rPr>
          <w:rFonts w:ascii="宋体" w:hAnsi="宋体"/>
          <w:color w:val="auto"/>
          <w:sz w:val="18"/>
          <w:szCs w:val="18"/>
          <w:highlight w:val="none"/>
        </w:rPr>
        <w:t>指由于债券市场</w:t>
      </w:r>
      <w:r>
        <w:rPr>
          <w:rFonts w:hint="eastAsia" w:ascii="宋体" w:hAnsi="宋体"/>
          <w:color w:val="auto"/>
          <w:sz w:val="18"/>
          <w:szCs w:val="18"/>
          <w:highlight w:val="none"/>
          <w:lang w:val="en-US" w:eastAsia="zh-CN"/>
        </w:rPr>
        <w:t>或资本市场</w:t>
      </w:r>
      <w:r>
        <w:rPr>
          <w:rFonts w:ascii="宋体" w:hAnsi="宋体"/>
          <w:color w:val="auto"/>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color w:val="auto"/>
          <w:sz w:val="18"/>
          <w:szCs w:val="18"/>
          <w:highlight w:val="none"/>
          <w:lang w:val="en-US" w:eastAsia="zh-CN"/>
        </w:rPr>
        <w:t>或证券市场</w:t>
      </w:r>
      <w:r>
        <w:rPr>
          <w:rFonts w:ascii="宋体" w:hAnsi="宋体"/>
          <w:color w:val="auto"/>
          <w:sz w:val="18"/>
          <w:szCs w:val="18"/>
          <w:highlight w:val="none"/>
        </w:rPr>
        <w:t>造成不同程度的影响，从而产生市场风险。</w:t>
      </w:r>
      <w:r>
        <w:rPr>
          <w:rFonts w:hint="eastAsia" w:ascii="宋体" w:hAnsi="宋体"/>
          <w:color w:val="auto"/>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1"/>
        <w:adjustRightInd w:val="0"/>
        <w:snapToGrid w:val="0"/>
        <w:spacing w:line="286" w:lineRule="auto"/>
        <w:ind w:firstLine="0"/>
        <w:rPr>
          <w:rFonts w:hint="eastAsia"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w:t>
      </w:r>
      <w:r>
        <w:rPr>
          <w:rFonts w:hint="eastAsia"/>
          <w:sz w:val="18"/>
          <w:szCs w:val="18"/>
          <w:highlight w:val="none"/>
          <w:lang w:eastAsia="zh-CN"/>
        </w:rPr>
        <w:t>、</w:t>
      </w:r>
      <w:r>
        <w:rPr>
          <w:rFonts w:hint="eastAsia"/>
          <w:sz w:val="18"/>
          <w:szCs w:val="18"/>
          <w:highlight w:val="none"/>
          <w:lang w:val="en-US" w:eastAsia="zh-CN"/>
        </w:rPr>
        <w:t>业绩比较基准</w:t>
      </w:r>
      <w:r>
        <w:rPr>
          <w:rFonts w:hint="eastAsia"/>
          <w:sz w:val="18"/>
          <w:szCs w:val="18"/>
          <w:highlight w:val="none"/>
        </w:rPr>
        <w:t>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6、温州银行将在理财期内在温州银行网站（www.wzbank.cn）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对本产品说明书予以公示。产品存续期间，投资者应当登录温州银行网站（www.wzbank.cn）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获取与本理财产品相关的信息。</w:t>
      </w:r>
    </w:p>
    <w:p>
      <w:pPr>
        <w:adjustRightInd w:val="0"/>
        <w:snapToGrid w:val="0"/>
        <w:spacing w:line="286" w:lineRule="auto"/>
        <w:rPr>
          <w:color w:val="auto"/>
          <w:sz w:val="18"/>
          <w:szCs w:val="18"/>
          <w:highlight w:val="none"/>
        </w:rPr>
      </w:pPr>
      <w:r>
        <w:rPr>
          <w:rFonts w:hint="eastAsia"/>
          <w:color w:val="auto"/>
          <w:sz w:val="18"/>
          <w:szCs w:val="18"/>
          <w:highlight w:val="none"/>
        </w:rPr>
        <w:t>7、理财产品账单：温州银行将在理财期内在温州银行网站（www.wzbank.cn）或</w:t>
      </w:r>
      <w:r>
        <w:rPr>
          <w:rFonts w:hint="eastAsia"/>
          <w:color w:val="auto"/>
          <w:sz w:val="18"/>
          <w:szCs w:val="18"/>
          <w:highlight w:val="none"/>
          <w:lang w:val="en-US" w:eastAsia="zh-CN"/>
        </w:rPr>
        <w:t>电子银行等信息平台</w:t>
      </w:r>
      <w:r>
        <w:rPr>
          <w:rFonts w:hint="eastAsia"/>
          <w:color w:val="auto"/>
          <w:sz w:val="18"/>
          <w:szCs w:val="18"/>
          <w:highlight w:val="none"/>
        </w:rPr>
        <w:t>，至少按月为投资者提供理财产品账单信息。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76" w:lineRule="auto"/>
        <w:rPr>
          <w:rFonts w:hint="eastAsia"/>
          <w:b/>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color w:val="auto"/>
          <w:sz w:val="18"/>
          <w:szCs w:val="18"/>
          <w:highlight w:val="none"/>
        </w:rPr>
      </w:pPr>
      <w:r>
        <w:rPr>
          <w:color w:val="auto"/>
          <w:sz w:val="18"/>
          <w:szCs w:val="18"/>
          <w:highlight w:val="none"/>
        </w:rPr>
        <w:t>1</w:t>
      </w:r>
      <w:r>
        <w:rPr>
          <w:rFonts w:hint="eastAsia"/>
          <w:color w:val="auto"/>
          <w:sz w:val="18"/>
          <w:szCs w:val="18"/>
          <w:highlight w:val="none"/>
        </w:rPr>
        <w:t>、认购（申购）手续：在产品认购（申购）期内，个人投资者请带本人身份证原件及复印件、温州银行借记卡等到温州银行营业网点</w:t>
      </w:r>
      <w:r>
        <w:rPr>
          <w:rFonts w:hint="eastAsia"/>
          <w:color w:val="auto"/>
          <w:sz w:val="18"/>
          <w:szCs w:val="18"/>
          <w:highlight w:val="none"/>
          <w:lang w:val="en-US" w:eastAsia="zh-CN"/>
        </w:rPr>
        <w:t>或通过</w:t>
      </w:r>
      <w:r>
        <w:rPr>
          <w:rFonts w:hint="eastAsia"/>
          <w:color w:val="auto"/>
          <w:sz w:val="18"/>
          <w:szCs w:val="18"/>
          <w:highlight w:val="none"/>
        </w:rPr>
        <w:t>温州银行电子渠道办理。投资者应确保购买本理财产品的资金来源合法，投资行为符合法律、法规及相关监管部门的规定，并承担相应的法律义务</w:t>
      </w:r>
      <w:r>
        <w:rPr>
          <w:rFonts w:hint="eastAsia"/>
          <w:color w:val="auto"/>
          <w:sz w:val="18"/>
          <w:szCs w:val="18"/>
          <w:highlight w:val="none"/>
          <w:lang w:eastAsia="zh-CN"/>
        </w:rPr>
        <w:t>。</w:t>
      </w:r>
    </w:p>
    <w:p>
      <w:pPr>
        <w:adjustRightInd w:val="0"/>
        <w:snapToGrid w:val="0"/>
        <w:spacing w:line="286" w:lineRule="auto"/>
        <w:rPr>
          <w:color w:val="auto"/>
          <w:sz w:val="18"/>
          <w:szCs w:val="18"/>
          <w:highlight w:val="none"/>
        </w:rPr>
      </w:pPr>
      <w:r>
        <w:rPr>
          <w:color w:val="auto"/>
          <w:sz w:val="18"/>
          <w:szCs w:val="18"/>
          <w:highlight w:val="none"/>
        </w:rPr>
        <w:t>2</w:t>
      </w:r>
      <w:r>
        <w:rPr>
          <w:rFonts w:hint="eastAsia"/>
          <w:color w:val="auto"/>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color w:val="auto"/>
          <w:sz w:val="18"/>
          <w:szCs w:val="18"/>
          <w:highlight w:val="none"/>
          <w:lang w:val="en-US" w:eastAsia="zh-CN"/>
        </w:rPr>
        <w:t>计划成立日/投资周期起始日</w:t>
      </w:r>
      <w:r>
        <w:rPr>
          <w:rFonts w:hint="eastAsia"/>
          <w:color w:val="auto"/>
          <w:sz w:val="18"/>
          <w:szCs w:val="18"/>
          <w:highlight w:val="none"/>
        </w:rPr>
        <w:t>实现资金扣划，相应认购（申购）将做失败处理。</w:t>
      </w:r>
    </w:p>
    <w:p>
      <w:pPr>
        <w:adjustRightInd w:val="0"/>
        <w:snapToGrid w:val="0"/>
        <w:spacing w:line="286" w:lineRule="auto"/>
        <w:rPr>
          <w:rFonts w:hint="eastAsia"/>
          <w:color w:val="auto"/>
          <w:sz w:val="18"/>
          <w:szCs w:val="18"/>
          <w:highlight w:val="none"/>
        </w:rPr>
      </w:pPr>
      <w:r>
        <w:rPr>
          <w:color w:val="auto"/>
          <w:sz w:val="18"/>
          <w:szCs w:val="18"/>
          <w:highlight w:val="none"/>
        </w:rPr>
        <w:t>3</w:t>
      </w:r>
      <w:r>
        <w:rPr>
          <w:rFonts w:hint="eastAsia"/>
          <w:color w:val="auto"/>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（3）《温州银行“金鹿理财-温盈”</w:t>
      </w:r>
      <w:r>
        <w:rPr>
          <w:rFonts w:hint="eastAsia"/>
          <w:sz w:val="18"/>
          <w:szCs w:val="18"/>
          <w:highlight w:val="none"/>
          <w:lang w:eastAsia="zh-CN"/>
        </w:rPr>
        <w:t>20010</w:t>
      </w:r>
      <w:r>
        <w:rPr>
          <w:rFonts w:hint="eastAsia"/>
          <w:sz w:val="18"/>
          <w:szCs w:val="18"/>
          <w:highlight w:val="none"/>
        </w:rPr>
        <w:t>号开放式净值型银行理财计划风险揭示书》、《温州银行“金鹿理财”银行理财计划合约》、《温州银行“金鹿理财-温盈”</w:t>
      </w:r>
      <w:r>
        <w:rPr>
          <w:rFonts w:hint="eastAsia"/>
          <w:sz w:val="18"/>
          <w:szCs w:val="18"/>
          <w:highlight w:val="none"/>
          <w:lang w:eastAsia="zh-CN"/>
        </w:rPr>
        <w:t>20010</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p>
      <w:pPr>
        <w:spacing w:line="372" w:lineRule="auto"/>
        <w:rPr>
          <w:rFonts w:hint="eastAsia"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Tu2g5fI1iPOeuHyqTnfcRA24Lg=" w:salt="EivzyTFCQ9EOU87ax0bENg=="/>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61E23EB"/>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DC053C8"/>
    <w:rsid w:val="1E9802D8"/>
    <w:rsid w:val="1FF86756"/>
    <w:rsid w:val="21716EFD"/>
    <w:rsid w:val="228F020A"/>
    <w:rsid w:val="243D7238"/>
    <w:rsid w:val="25385D7F"/>
    <w:rsid w:val="25D455A1"/>
    <w:rsid w:val="284D2E1D"/>
    <w:rsid w:val="305D1E10"/>
    <w:rsid w:val="306F7311"/>
    <w:rsid w:val="31253F01"/>
    <w:rsid w:val="33157C11"/>
    <w:rsid w:val="34B42407"/>
    <w:rsid w:val="35EA1207"/>
    <w:rsid w:val="36E42715"/>
    <w:rsid w:val="382F302B"/>
    <w:rsid w:val="38747519"/>
    <w:rsid w:val="38E45900"/>
    <w:rsid w:val="39C8686F"/>
    <w:rsid w:val="3BE35F9B"/>
    <w:rsid w:val="3F063D4E"/>
    <w:rsid w:val="3F97323B"/>
    <w:rsid w:val="3FC979F3"/>
    <w:rsid w:val="3FD2551B"/>
    <w:rsid w:val="40076C80"/>
    <w:rsid w:val="42A87CFF"/>
    <w:rsid w:val="47F32BE2"/>
    <w:rsid w:val="497C717E"/>
    <w:rsid w:val="49815F2A"/>
    <w:rsid w:val="49C633C6"/>
    <w:rsid w:val="4A2E173D"/>
    <w:rsid w:val="4ABC78E8"/>
    <w:rsid w:val="4ED34292"/>
    <w:rsid w:val="4FC865FE"/>
    <w:rsid w:val="517F520C"/>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7D232A2"/>
    <w:rsid w:val="78115854"/>
    <w:rsid w:val="7BF13C4F"/>
    <w:rsid w:val="7DDE5540"/>
    <w:rsid w:val="7DE500BC"/>
    <w:rsid w:val="7E1750DA"/>
    <w:rsid w:val="7FDA6AD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character" w:customStyle="1" w:styleId="14">
    <w:name w:val="批注框文本 Char"/>
    <w:link w:val="3"/>
    <w:semiHidden/>
    <w:qFormat/>
    <w:uiPriority w:val="99"/>
    <w:rPr>
      <w:rFonts w:ascii="Times New Roman" w:hAnsi="Times New Roman"/>
      <w:kern w:val="2"/>
      <w:sz w:val="18"/>
      <w:szCs w:val="18"/>
    </w:rPr>
  </w:style>
  <w:style w:type="character" w:customStyle="1" w:styleId="15">
    <w:name w:val="批注文字 Char"/>
    <w:link w:val="2"/>
    <w:semiHidden/>
    <w:uiPriority w:val="99"/>
    <w:rPr>
      <w:rFonts w:ascii="Times New Roman" w:hAnsi="Times New Roman"/>
      <w:kern w:val="2"/>
      <w:sz w:val="21"/>
    </w:rPr>
  </w:style>
  <w:style w:type="character" w:customStyle="1" w:styleId="16">
    <w:name w:val="页眉 Char"/>
    <w:link w:val="5"/>
    <w:semiHidden/>
    <w:uiPriority w:val="99"/>
    <w:rPr>
      <w:sz w:val="18"/>
      <w:szCs w:val="18"/>
    </w:rPr>
  </w:style>
  <w:style w:type="character" w:customStyle="1" w:styleId="17">
    <w:name w:val="页脚 Char"/>
    <w:link w:val="4"/>
    <w:qFormat/>
    <w:uiPriority w:val="99"/>
    <w:rPr>
      <w:sz w:val="18"/>
      <w:szCs w:val="18"/>
    </w:rPr>
  </w:style>
  <w:style w:type="character" w:customStyle="1" w:styleId="18">
    <w:name w:val="批注主题 Char"/>
    <w:link w:val="7"/>
    <w:semiHidden/>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2137</Words>
  <Characters>12183</Characters>
  <Lines>101</Lines>
  <Paragraphs>28</Paragraphs>
  <TotalTime>1</TotalTime>
  <ScaleCrop>false</ScaleCrop>
  <LinksUpToDate>false</LinksUpToDate>
  <CharactersWithSpaces>14292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2023-01-20T05:18:50Z</dcterms:modified>
  <dc:title>温州银行“金鹿理财-温盈”1号银行理财计划风险揭示书</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