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lang w:eastAsia="zh-CN"/>
        </w:rPr>
      </w:pPr>
      <w:bookmarkStart w:id="0" w:name="_GoBack"/>
      <w:bookmarkEnd w:id="0"/>
      <w:r>
        <w:rPr>
          <w:rFonts w:hint="eastAsia" w:ascii="黑体" w:eastAsia="黑体"/>
          <w:sz w:val="30"/>
          <w:szCs w:val="30"/>
          <w:highlight w:val="none"/>
        </w:rPr>
        <w:t xml:space="preserve"> 温州银行“金鹿理财-普惠季享”</w:t>
      </w:r>
      <w:r>
        <w:rPr>
          <w:rFonts w:hint="eastAsia" w:ascii="黑体" w:eastAsia="黑体"/>
          <w:sz w:val="30"/>
          <w:szCs w:val="30"/>
          <w:highlight w:val="none"/>
          <w:u w:val="single"/>
          <w:lang w:eastAsia="zh-CN"/>
        </w:rPr>
        <w:t>13号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szCs w:val="21"/>
          <w:highlight w:val="none"/>
          <w:u w:val="single"/>
          <w:lang w:eastAsia="zh-CN"/>
        </w:rPr>
        <w:t>13号</w:t>
      </w:r>
      <w:r>
        <w:rPr>
          <w:rFonts w:hint="eastAsia"/>
          <w:szCs w:val="21"/>
          <w:highlight w:val="none"/>
        </w:rPr>
        <w:t>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“金鹿理财-普惠季享”</w:t>
      </w:r>
      <w:r>
        <w:rPr>
          <w:rFonts w:hint="eastAsia" w:ascii="宋体" w:hAnsi="宋体"/>
          <w:szCs w:val="21"/>
          <w:highlight w:val="none"/>
          <w:lang w:eastAsia="zh-CN"/>
        </w:rPr>
        <w:t>13号</w:t>
      </w:r>
      <w:r>
        <w:rPr>
          <w:rFonts w:hint="eastAsia" w:ascii="宋体" w:hAnsi="宋体"/>
          <w:szCs w:val="21"/>
          <w:highlight w:val="none"/>
        </w:rPr>
        <w:t>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eastAsia" w:ascii="宋体" w:hAnsi="宋体"/>
          <w:szCs w:val="21"/>
          <w:highlight w:val="none"/>
          <w:lang w:eastAsia="zh-CN"/>
        </w:rPr>
        <w:t>13号</w:t>
      </w:r>
      <w:r>
        <w:rPr>
          <w:rFonts w:hint="eastAsia" w:ascii="宋体" w:hAnsi="宋体"/>
          <w:szCs w:val="21"/>
          <w:highlight w:val="none"/>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hAnsi="宋体"/>
          <w:szCs w:val="21"/>
          <w:highlight w:val="none"/>
          <w:lang w:eastAsia="zh-CN"/>
        </w:rPr>
        <w:t>13号</w:t>
      </w:r>
      <w:r>
        <w:rPr>
          <w:rFonts w:hint="eastAsia" w:ascii="宋体" w:hAnsi="宋体"/>
          <w:szCs w:val="21"/>
          <w:highlight w:val="none"/>
        </w:rPr>
        <w:t>开放式净值型银行理财计划产品说明书》、《温州银行“金鹿理财-普惠季享”</w:t>
      </w:r>
      <w:r>
        <w:rPr>
          <w:rFonts w:hint="eastAsia" w:ascii="宋体" w:hAnsi="宋体"/>
          <w:szCs w:val="21"/>
          <w:highlight w:val="none"/>
          <w:lang w:eastAsia="zh-CN"/>
        </w:rPr>
        <w:t>13号</w:t>
      </w:r>
      <w:r>
        <w:rPr>
          <w:rFonts w:hint="eastAsia" w:ascii="宋体" w:hAnsi="宋体"/>
          <w:szCs w:val="21"/>
          <w:highlight w:val="none"/>
        </w:rPr>
        <w:t>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lang w:eastAsia="zh-CN"/>
        </w:rPr>
      </w:pPr>
      <w:r>
        <w:rPr>
          <w:rFonts w:hint="eastAsia" w:ascii="黑体" w:eastAsia="黑体"/>
          <w:sz w:val="30"/>
          <w:szCs w:val="30"/>
          <w:highlight w:val="none"/>
        </w:rPr>
        <w:t>温州银行“金鹿理财-普惠季享”</w:t>
      </w:r>
      <w:r>
        <w:rPr>
          <w:rFonts w:hint="eastAsia" w:ascii="黑体" w:eastAsia="黑体"/>
          <w:sz w:val="30"/>
          <w:szCs w:val="30"/>
          <w:highlight w:val="none"/>
          <w:u w:val="single"/>
          <w:lang w:eastAsia="zh-CN"/>
        </w:rPr>
        <w:t>13号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eastAsia"/>
          <w:sz w:val="18"/>
          <w:szCs w:val="18"/>
          <w:highlight w:val="none"/>
          <w:lang w:eastAsia="zh-CN"/>
        </w:rPr>
        <w:t>13号</w:t>
      </w:r>
      <w:r>
        <w:rPr>
          <w:rFonts w:hint="eastAsia"/>
          <w:sz w:val="18"/>
          <w:szCs w:val="18"/>
          <w:highlight w:val="none"/>
        </w:rPr>
        <w:t>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sz w:val="18"/>
                <w:szCs w:val="18"/>
                <w:highlight w:val="none"/>
                <w:u w:val="single"/>
                <w:lang w:eastAsia="zh-CN"/>
              </w:rPr>
              <w:t>13号</w:t>
            </w:r>
            <w:r>
              <w:rPr>
                <w:rFonts w:hint="eastAsia"/>
                <w:sz w:val="18"/>
                <w:szCs w:val="18"/>
                <w:highlight w:val="none"/>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JX00</w:t>
            </w:r>
            <w:r>
              <w:rPr>
                <w:rFonts w:hint="eastAsia"/>
                <w:sz w:val="18"/>
                <w:szCs w:val="18"/>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w:t>
            </w:r>
            <w:r>
              <w:rPr>
                <w:rFonts w:hint="eastAsia" w:hAnsi="Calibri"/>
                <w:sz w:val="18"/>
                <w:szCs w:val="18"/>
              </w:rPr>
              <w:t>6</w:t>
            </w:r>
          </w:p>
          <w:p>
            <w:pPr>
              <w:pStyle w:val="14"/>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2021年8月17日至2021年8月23日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0</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w:t>
            </w:r>
            <w:r>
              <w:rPr>
                <w:rFonts w:hint="eastAsia"/>
                <w:sz w:val="18"/>
                <w:szCs w:val="18"/>
              </w:rPr>
              <w:t>2021年</w:t>
            </w:r>
            <w:r>
              <w:rPr>
                <w:rFonts w:hint="eastAsia"/>
                <w:sz w:val="18"/>
                <w:szCs w:val="18"/>
                <w:lang w:val="en-US" w:eastAsia="zh-CN"/>
              </w:rPr>
              <w:t>8</w:t>
            </w:r>
            <w:r>
              <w:rPr>
                <w:rFonts w:hint="eastAsia"/>
                <w:sz w:val="18"/>
                <w:szCs w:val="18"/>
              </w:rPr>
              <w:t>月</w:t>
            </w:r>
            <w:r>
              <w:rPr>
                <w:rFonts w:hint="eastAsia"/>
                <w:sz w:val="18"/>
                <w:szCs w:val="18"/>
                <w:lang w:val="en-US" w:eastAsia="zh-CN"/>
              </w:rPr>
              <w:t>24</w:t>
            </w:r>
            <w:r>
              <w:rPr>
                <w:rFonts w:hint="eastAsia"/>
                <w:sz w:val="18"/>
                <w:szCs w:val="18"/>
              </w:rPr>
              <w:t>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】天。投资周期终止日如遇非工作日则</w:t>
            </w:r>
            <w:r>
              <w:rPr>
                <w:rFonts w:hint="eastAsia" w:ascii="宋体" w:hAnsi="宋体"/>
                <w:sz w:val="18"/>
                <w:highlight w:val="none"/>
              </w:rPr>
              <w:t>顺延至下一个工作日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《温州银行“金鹿理财-普惠季享”</w:t>
            </w:r>
            <w:r>
              <w:rPr>
                <w:rFonts w:hint="eastAsia"/>
                <w:sz w:val="18"/>
                <w:szCs w:val="18"/>
                <w:highlight w:val="none"/>
                <w:lang w:eastAsia="zh-CN"/>
              </w:rPr>
              <w:t>13号</w:t>
            </w:r>
            <w:r>
              <w:rPr>
                <w:rFonts w:hint="eastAsia"/>
                <w:sz w:val="18"/>
                <w:szCs w:val="18"/>
                <w:highlight w:val="none"/>
              </w:rPr>
              <w:t>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ascii="宋体" w:hAnsi="宋体"/>
                <w:sz w:val="18"/>
                <w:highlight w:val="none"/>
                <w:lang w:eastAsia="zh-CN"/>
              </w:rPr>
              <w:t>（</w:t>
            </w:r>
            <w:r>
              <w:rPr>
                <w:rFonts w:hint="eastAsia" w:ascii="宋体" w:hAnsi="宋体"/>
                <w:sz w:val="18"/>
                <w:highlight w:val="none"/>
                <w:lang w:val="en-US" w:eastAsia="zh-CN"/>
              </w:rPr>
              <w:t>申购</w:t>
            </w:r>
            <w:r>
              <w:rPr>
                <w:rFonts w:hint="eastAsia" w:ascii="宋体" w:hAnsi="宋体"/>
                <w:sz w:val="18"/>
                <w:highlight w:val="none"/>
                <w:lang w:eastAsia="zh-CN"/>
              </w:rPr>
              <w:t>）</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w:t>
            </w:r>
            <w:r>
              <w:rPr>
                <w:rFonts w:hint="eastAsia" w:cs="Times New Roman"/>
                <w:color w:val="auto"/>
                <w:sz w:val="18"/>
                <w:szCs w:val="18"/>
                <w:highlight w:val="none"/>
              </w:rPr>
              <w:t>理财</w:t>
            </w:r>
            <w:r>
              <w:rPr>
                <w:rFonts w:hint="eastAsia" w:cs="Times New Roman"/>
                <w:color w:val="auto"/>
                <w:sz w:val="18"/>
                <w:szCs w:val="18"/>
                <w:highlight w:val="none"/>
                <w:lang w:val="en-US" w:eastAsia="zh-CN"/>
              </w:rPr>
              <w:t>计划成立日/投资周期起始日</w:t>
            </w:r>
            <w:r>
              <w:rPr>
                <w:rFonts w:hint="eastAsia" w:cs="Times New Roman"/>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rFonts w:hint="eastAsia"/>
          <w:sz w:val="18"/>
          <w:szCs w:val="18"/>
          <w:highlight w:val="none"/>
          <w:lang w:val="en-US" w:eastAsia="zh-CN"/>
        </w:rPr>
        <w:t>14</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招商</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《温州银行“金鹿理财-普惠季享”</w:t>
      </w:r>
      <w:r>
        <w:rPr>
          <w:rFonts w:hint="eastAsia"/>
          <w:sz w:val="18"/>
          <w:szCs w:val="18"/>
          <w:highlight w:val="none"/>
          <w:lang w:eastAsia="zh-CN"/>
        </w:rPr>
        <w:t>13号</w:t>
      </w:r>
      <w:r>
        <w:rPr>
          <w:rFonts w:hint="eastAsia"/>
          <w:sz w:val="18"/>
          <w:szCs w:val="18"/>
          <w:highlight w:val="none"/>
        </w:rPr>
        <w:t>开放式净值型（第i期）银行理财计划开放认购</w:t>
      </w:r>
      <w:r>
        <w:rPr>
          <w:rFonts w:hint="eastAsia"/>
          <w:sz w:val="18"/>
          <w:szCs w:val="18"/>
          <w:highlight w:val="none"/>
          <w:lang w:eastAsia="zh-CN"/>
        </w:rPr>
        <w:t>（</w:t>
      </w:r>
      <w:r>
        <w:rPr>
          <w:rFonts w:hint="eastAsia"/>
          <w:sz w:val="18"/>
          <w:szCs w:val="18"/>
          <w:highlight w:val="none"/>
        </w:rPr>
        <w:t>申购</w:t>
      </w:r>
      <w:r>
        <w:rPr>
          <w:rFonts w:hint="eastAsia"/>
          <w:sz w:val="18"/>
          <w:szCs w:val="18"/>
          <w:highlight w:val="none"/>
          <w:lang w:eastAsia="zh-CN"/>
        </w:rPr>
        <w:t>）</w:t>
      </w:r>
      <w:r>
        <w:rPr>
          <w:rFonts w:hint="eastAsia"/>
          <w:sz w:val="18"/>
          <w:szCs w:val="18"/>
          <w:highlight w:val="none"/>
        </w:rPr>
        <w:t>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w:t>
      </w:r>
      <w:r>
        <w:rPr>
          <w:rFonts w:hint="eastAsia"/>
          <w:sz w:val="18"/>
          <w:szCs w:val="18"/>
        </w:rPr>
        <w:t>2021年</w:t>
      </w:r>
      <w:r>
        <w:rPr>
          <w:rFonts w:hint="eastAsia"/>
          <w:sz w:val="18"/>
          <w:szCs w:val="18"/>
          <w:lang w:val="en-US" w:eastAsia="zh-CN"/>
        </w:rPr>
        <w:t>8</w:t>
      </w:r>
      <w:r>
        <w:rPr>
          <w:rFonts w:hint="eastAsia"/>
          <w:sz w:val="18"/>
          <w:szCs w:val="18"/>
        </w:rPr>
        <w:t>月</w:t>
      </w:r>
      <w:r>
        <w:rPr>
          <w:rFonts w:hint="eastAsia"/>
          <w:sz w:val="18"/>
          <w:szCs w:val="18"/>
          <w:lang w:val="en-US" w:eastAsia="zh-CN"/>
        </w:rPr>
        <w:t>24</w:t>
      </w:r>
      <w:r>
        <w:rPr>
          <w:rFonts w:hint="eastAsia"/>
          <w:sz w:val="18"/>
          <w:szCs w:val="18"/>
        </w:rPr>
        <w:t>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rPr>
        <w:t>9</w:t>
      </w:r>
      <w:r>
        <w:rPr>
          <w:rFonts w:hint="eastAsia" w:ascii="宋体" w:hAnsi="宋体"/>
          <w:sz w:val="18"/>
          <w:highlight w:val="none"/>
          <w:lang w:val="en-US" w:eastAsia="zh-CN"/>
        </w:rPr>
        <w:t>1</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w:t>
      </w:r>
      <w:r>
        <w:rPr>
          <w:rFonts w:hint="eastAsia"/>
          <w:sz w:val="18"/>
          <w:szCs w:val="18"/>
          <w:highlight w:val="none"/>
          <w:lang w:val="en-US" w:eastAsia="zh-CN"/>
        </w:rPr>
        <w:t>自</w:t>
      </w:r>
      <w:r>
        <w:rPr>
          <w:rFonts w:hint="eastAsia"/>
          <w:sz w:val="18"/>
          <w:szCs w:val="18"/>
          <w:highlight w:val="none"/>
        </w:rPr>
        <w:t>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w:t>
      </w:r>
      <w:r>
        <w:rPr>
          <w:rFonts w:hint="eastAsia"/>
          <w:sz w:val="18"/>
          <w:szCs w:val="18"/>
        </w:rPr>
        <w:t>20</w:t>
      </w:r>
      <w:r>
        <w:rPr>
          <w:rFonts w:hint="eastAsia"/>
          <w:sz w:val="18"/>
          <w:szCs w:val="18"/>
          <w:lang w:val="en-US" w:eastAsia="zh-CN"/>
        </w:rPr>
        <w:t>3</w:t>
      </w:r>
      <w:r>
        <w:rPr>
          <w:rFonts w:hint="eastAsia"/>
          <w:sz w:val="18"/>
          <w:szCs w:val="18"/>
        </w:rPr>
        <w:t>1年</w:t>
      </w:r>
      <w:r>
        <w:rPr>
          <w:rFonts w:hint="eastAsia"/>
          <w:sz w:val="18"/>
          <w:szCs w:val="18"/>
          <w:lang w:val="en-US" w:eastAsia="zh-CN"/>
        </w:rPr>
        <w:t>8</w:t>
      </w:r>
      <w:r>
        <w:rPr>
          <w:rFonts w:hint="eastAsia"/>
          <w:sz w:val="18"/>
          <w:szCs w:val="18"/>
        </w:rPr>
        <w:t>月</w:t>
      </w:r>
      <w:r>
        <w:rPr>
          <w:rFonts w:hint="eastAsia"/>
          <w:sz w:val="18"/>
          <w:szCs w:val="18"/>
          <w:lang w:val="en-US" w:eastAsia="zh-CN"/>
        </w:rPr>
        <w:t>24</w:t>
      </w:r>
      <w:r>
        <w:rPr>
          <w:rFonts w:hint="eastAsia"/>
          <w:sz w:val="18"/>
          <w:szCs w:val="18"/>
        </w:rPr>
        <w:t>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rPr>
      </w:pPr>
      <w:r>
        <w:rPr>
          <w:rFonts w:hint="eastAsia"/>
          <w:color w:val="auto"/>
          <w:sz w:val="18"/>
          <w:szCs w:val="18"/>
        </w:rPr>
        <w:t>理财管理人对委托资产收取的固定管理费，理财计划财产的年固定管理费率为0.</w:t>
      </w:r>
      <w:r>
        <w:rPr>
          <w:rFonts w:hint="eastAsia"/>
          <w:color w:val="auto"/>
          <w:sz w:val="18"/>
          <w:szCs w:val="18"/>
          <w:lang w:val="en-US" w:eastAsia="zh-CN"/>
        </w:rPr>
        <w:t>8</w:t>
      </w:r>
      <w:r>
        <w:rPr>
          <w:rFonts w:hint="eastAsia"/>
          <w:color w:val="auto"/>
          <w:sz w:val="18"/>
          <w:szCs w:val="18"/>
        </w:rPr>
        <w:t>%（最高），计算方法如下：</w:t>
      </w:r>
    </w:p>
    <w:p>
      <w:pPr>
        <w:adjustRightInd w:val="0"/>
        <w:snapToGrid w:val="0"/>
        <w:spacing w:line="288" w:lineRule="auto"/>
        <w:rPr>
          <w:rFonts w:hint="eastAsia"/>
          <w:color w:val="auto"/>
          <w:sz w:val="18"/>
          <w:szCs w:val="18"/>
        </w:rPr>
      </w:pPr>
      <w:r>
        <w:rPr>
          <w:rFonts w:hint="eastAsia"/>
          <w:color w:val="auto"/>
          <w:sz w:val="18"/>
          <w:szCs w:val="18"/>
        </w:rPr>
        <w:t>若本理财产品扣除产品固定管理费、托管费及其他费用（如有）后</w:t>
      </w:r>
      <w:r>
        <w:rPr>
          <w:color w:val="auto"/>
          <w:sz w:val="18"/>
          <w:szCs w:val="18"/>
        </w:rPr>
        <w:t>,</w:t>
      </w:r>
      <w:r>
        <w:rPr>
          <w:rFonts w:hint="eastAsia"/>
          <w:color w:val="auto"/>
          <w:sz w:val="18"/>
          <w:szCs w:val="18"/>
        </w:rPr>
        <w:t>期末累计单位净值年化增长率超过业绩比较基准，则温州银行按0</w:t>
      </w:r>
      <w:r>
        <w:rPr>
          <w:color w:val="auto"/>
          <w:sz w:val="18"/>
          <w:szCs w:val="18"/>
        </w:rPr>
        <w:t>.</w:t>
      </w:r>
      <w:r>
        <w:rPr>
          <w:rFonts w:hint="eastAsia"/>
          <w:color w:val="auto"/>
          <w:sz w:val="18"/>
          <w:szCs w:val="18"/>
          <w:lang w:val="en-US" w:eastAsia="zh-CN"/>
        </w:rPr>
        <w:t>8</w:t>
      </w:r>
      <w:r>
        <w:rPr>
          <w:rFonts w:hint="eastAsia"/>
          <w:color w:val="auto"/>
          <w:sz w:val="18"/>
          <w:szCs w:val="18"/>
        </w:rPr>
        <w:t>%（年化）收取固定管理费；若本理财产品扣除产品固定管理费、托管费及其他费用（如有）后</w:t>
      </w:r>
      <w:r>
        <w:rPr>
          <w:color w:val="auto"/>
          <w:sz w:val="18"/>
          <w:szCs w:val="18"/>
        </w:rPr>
        <w:t>,</w:t>
      </w:r>
      <w:r>
        <w:rPr>
          <w:rFonts w:hint="eastAsia"/>
          <w:color w:val="auto"/>
          <w:sz w:val="18"/>
          <w:szCs w:val="18"/>
        </w:rPr>
        <w:t>期末累计单位净值年化增长率低于业绩比较基准，则温州银行将减免与业绩比较基准的差额部分，减免上限最高不超过0</w:t>
      </w:r>
      <w:r>
        <w:rPr>
          <w:color w:val="auto"/>
          <w:sz w:val="18"/>
          <w:szCs w:val="18"/>
        </w:rPr>
        <w:t>.</w:t>
      </w:r>
      <w:r>
        <w:rPr>
          <w:rFonts w:hint="eastAsia"/>
          <w:color w:val="auto"/>
          <w:sz w:val="18"/>
          <w:szCs w:val="18"/>
          <w:lang w:val="en-US" w:eastAsia="zh-CN"/>
        </w:rPr>
        <w:t>8</w:t>
      </w:r>
      <w:r>
        <w:rPr>
          <w:rFonts w:hint="eastAsia"/>
          <w:color w:val="auto"/>
          <w:sz w:val="18"/>
          <w:szCs w:val="18"/>
        </w:rPr>
        <w:t>%（年化）</w:t>
      </w:r>
      <w:r>
        <w:rPr>
          <w:color w:val="auto"/>
          <w:sz w:val="18"/>
          <w:szCs w:val="18"/>
        </w:rPr>
        <w:t>。</w:t>
      </w:r>
      <w:r>
        <w:rPr>
          <w:rFonts w:hint="eastAsia"/>
          <w:color w:val="auto"/>
          <w:sz w:val="18"/>
          <w:szCs w:val="18"/>
        </w:rPr>
        <w:t>计算方法如下：</w:t>
      </w:r>
    </w:p>
    <w:p>
      <w:pPr>
        <w:adjustRightInd w:val="0"/>
        <w:snapToGrid w:val="0"/>
        <w:spacing w:line="286" w:lineRule="auto"/>
        <w:rPr>
          <w:color w:val="auto"/>
          <w:sz w:val="18"/>
          <w:szCs w:val="18"/>
        </w:rPr>
      </w:pPr>
      <w:r>
        <w:rPr>
          <w:rFonts w:hint="eastAsia"/>
          <w:color w:val="auto"/>
          <w:sz w:val="18"/>
          <w:szCs w:val="18"/>
        </w:rPr>
        <w:t>H＝E×固定管理费率÷365</w:t>
      </w:r>
    </w:p>
    <w:p>
      <w:pPr>
        <w:adjustRightInd w:val="0"/>
        <w:snapToGrid w:val="0"/>
        <w:spacing w:line="286" w:lineRule="auto"/>
        <w:rPr>
          <w:color w:val="auto"/>
          <w:sz w:val="18"/>
          <w:szCs w:val="18"/>
        </w:rPr>
      </w:pPr>
      <w:r>
        <w:rPr>
          <w:rFonts w:hint="eastAsia"/>
          <w:color w:val="auto"/>
          <w:sz w:val="18"/>
          <w:szCs w:val="18"/>
        </w:rPr>
        <w:t>H为每日应计提的固定管理费</w:t>
      </w:r>
    </w:p>
    <w:p>
      <w:pPr>
        <w:adjustRightInd w:val="0"/>
        <w:snapToGrid w:val="0"/>
        <w:spacing w:line="286" w:lineRule="auto"/>
        <w:rPr>
          <w:color w:val="auto"/>
          <w:sz w:val="18"/>
          <w:szCs w:val="18"/>
        </w:rPr>
      </w:pPr>
      <w:r>
        <w:rPr>
          <w:rFonts w:hint="eastAsia"/>
          <w:color w:val="auto"/>
          <w:sz w:val="18"/>
          <w:szCs w:val="18"/>
        </w:rPr>
        <w:t>E为本计划前一日资产净值</w:t>
      </w:r>
    </w:p>
    <w:p>
      <w:pPr>
        <w:adjustRightInd w:val="0"/>
        <w:snapToGrid w:val="0"/>
        <w:spacing w:line="286" w:lineRule="auto"/>
        <w:rPr>
          <w:color w:val="auto"/>
          <w:sz w:val="18"/>
          <w:szCs w:val="18"/>
        </w:rPr>
      </w:pPr>
      <w:r>
        <w:rPr>
          <w:rFonts w:hint="eastAsia"/>
          <w:color w:val="auto"/>
          <w:sz w:val="18"/>
          <w:szCs w:val="18"/>
        </w:rPr>
        <w:t>第一日固定管理费为第一日委托资产本金×固定管理费率÷</w:t>
      </w:r>
      <w:r>
        <w:rPr>
          <w:color w:val="auto"/>
          <w:sz w:val="18"/>
          <w:szCs w:val="18"/>
        </w:rPr>
        <w:t>365</w:t>
      </w:r>
      <w:r>
        <w:rPr>
          <w:rFonts w:hint="eastAsia"/>
          <w:color w:val="auto"/>
          <w:sz w:val="18"/>
          <w:szCs w:val="18"/>
        </w:rPr>
        <w:t>。</w:t>
      </w:r>
    </w:p>
    <w:p>
      <w:pPr>
        <w:adjustRightInd w:val="0"/>
        <w:snapToGrid w:val="0"/>
        <w:spacing w:line="286" w:lineRule="auto"/>
        <w:rPr>
          <w:color w:val="auto"/>
          <w:sz w:val="18"/>
          <w:szCs w:val="18"/>
          <w:highlight w:val="yellow"/>
        </w:rPr>
      </w:pPr>
      <w:r>
        <w:rPr>
          <w:rFonts w:hint="eastAsia"/>
          <w:color w:val="auto"/>
          <w:sz w:val="18"/>
          <w:szCs w:val="18"/>
        </w:rPr>
        <w:t>固定管理</w:t>
      </w:r>
      <w:r>
        <w:rPr>
          <w:rFonts w:hint="eastAsia"/>
          <w:color w:val="auto"/>
          <w:sz w:val="18"/>
          <w:szCs w:val="18"/>
          <w:lang w:val="en-US" w:eastAsia="zh-CN"/>
        </w:rPr>
        <w:t>费</w:t>
      </w:r>
      <w:r>
        <w:rPr>
          <w:rFonts w:hint="eastAsia"/>
          <w:color w:val="auto"/>
          <w:sz w:val="18"/>
          <w:szCs w:val="18"/>
          <w:highlight w:val="none"/>
        </w:rPr>
        <w:t>原则上按日计提，逐日累计至</w:t>
      </w:r>
      <w:r>
        <w:rPr>
          <w:rFonts w:hint="eastAsia" w:ascii="宋体" w:hAnsi="宋体"/>
          <w:sz w:val="18"/>
          <w:highlight w:val="none"/>
          <w:lang w:val="zh-CN"/>
        </w:rPr>
        <w:t>每个投资运作周期到期日</w:t>
      </w:r>
      <w:r>
        <w:rPr>
          <w:rFonts w:hint="eastAsia"/>
          <w:color w:val="auto"/>
          <w:sz w:val="18"/>
          <w:szCs w:val="18"/>
          <w:highlight w:val="none"/>
        </w:rPr>
        <w:t>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lang w:eastAsia="zh-CN"/>
        </w:rPr>
        <w:t>、</w:t>
      </w:r>
      <w:r>
        <w:rPr>
          <w:rFonts w:hint="eastAsia" w:ascii="宋体" w:hAnsi="宋体"/>
          <w:sz w:val="18"/>
          <w:szCs w:val="18"/>
          <w:highlight w:val="none"/>
          <w:lang w:val="en-US" w:eastAsia="zh-CN"/>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 xml:space="preserve"> = </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 xml:space="preserve"> = </w:t>
      </w:r>
      <w:r>
        <w:rPr>
          <w:rFonts w:hint="eastAsia"/>
          <w:sz w:val="18"/>
          <w:szCs w:val="18"/>
          <w:highlight w:val="none"/>
        </w:rPr>
        <w:t>理财计划到期日份额净值-认购（申购）确认日前一自然日份额净值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 xml:space="preserve"> = </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lang w:eastAsia="zh-CN"/>
        </w:rPr>
        <w:t>、</w:t>
      </w:r>
      <w:r>
        <w:rPr>
          <w:rFonts w:hint="eastAsia"/>
          <w:sz w:val="18"/>
          <w:szCs w:val="18"/>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w:t>
      </w:r>
      <w:r>
        <w:rPr>
          <w:rFonts w:hint="eastAsia"/>
          <w:sz w:val="18"/>
          <w:szCs w:val="18"/>
          <w:lang w:val="en-US" w:eastAsia="zh-CN"/>
        </w:rPr>
        <w:t>或电子银行等信息平台</w:t>
      </w:r>
      <w:r>
        <w:rPr>
          <w:rFonts w:hint="eastAsia"/>
          <w:sz w:val="18"/>
          <w:szCs w:val="18"/>
        </w:rPr>
        <w:t>对本产品说明书予以公示。产品存续期间，投资者应当登录温州银行网站（www.wzbank.cn）</w:t>
      </w:r>
      <w:r>
        <w:rPr>
          <w:rFonts w:hint="eastAsia"/>
          <w:sz w:val="18"/>
          <w:szCs w:val="18"/>
          <w:lang w:val="en-US" w:eastAsia="zh-CN"/>
        </w:rPr>
        <w:t>或电子银行等信息平台</w:t>
      </w:r>
      <w:r>
        <w:rPr>
          <w:rFonts w:hint="eastAsia"/>
          <w:sz w:val="18"/>
          <w:szCs w:val="18"/>
        </w:rPr>
        <w:t>获取与本理财产品相关的信息。</w:t>
      </w:r>
    </w:p>
    <w:p>
      <w:pPr>
        <w:adjustRightInd w:val="0"/>
        <w:snapToGrid w:val="0"/>
        <w:spacing w:line="286" w:lineRule="auto"/>
        <w:rPr>
          <w:sz w:val="18"/>
          <w:szCs w:val="18"/>
          <w:highlight w:val="none"/>
        </w:rPr>
      </w:pPr>
      <w:r>
        <w:rPr>
          <w:rFonts w:hint="eastAsia"/>
          <w:sz w:val="18"/>
          <w:szCs w:val="18"/>
        </w:rPr>
        <w:t>7、理财产品账单：温州银行将在理财期内在温州银行网站（www.wzbank.cn）</w:t>
      </w:r>
      <w:r>
        <w:rPr>
          <w:rFonts w:hint="eastAsia"/>
          <w:sz w:val="18"/>
          <w:szCs w:val="18"/>
          <w:lang w:val="en-US" w:eastAsia="zh-CN"/>
        </w:rPr>
        <w:t>或电子银行等信息平台</w:t>
      </w:r>
      <w:r>
        <w:rPr>
          <w:rFonts w:hint="eastAsia"/>
          <w:sz w:val="18"/>
          <w:szCs w:val="18"/>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eastAsia"/>
          <w:sz w:val="18"/>
          <w:szCs w:val="18"/>
          <w:highlight w:val="none"/>
          <w:lang w:eastAsia="zh-CN"/>
        </w:rPr>
        <w:t>13号</w:t>
      </w:r>
      <w:r>
        <w:rPr>
          <w:rFonts w:hint="eastAsia"/>
          <w:sz w:val="18"/>
          <w:szCs w:val="18"/>
          <w:highlight w:val="none"/>
        </w:rPr>
        <w:t>开放式净值型银行理财计划风险揭示书》、《温州银行“金鹿理财”银行理财计划合约》、《温州银行“金鹿理财-普惠季享”</w:t>
      </w:r>
      <w:r>
        <w:rPr>
          <w:rFonts w:hint="eastAsia"/>
          <w:sz w:val="18"/>
          <w:szCs w:val="18"/>
          <w:highlight w:val="none"/>
          <w:lang w:eastAsia="zh-CN"/>
        </w:rPr>
        <w:t>13号</w:t>
      </w:r>
      <w:r>
        <w:rPr>
          <w:rFonts w:hint="eastAsia"/>
          <w:sz w:val="18"/>
          <w:szCs w:val="18"/>
          <w:highlight w:val="none"/>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e3xoCbpqGhlr3CY/0Gc4mpORuQ=" w:salt="7vAxsOZuhsQ+/r/ePOzzuA=="/>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681CCE"/>
    <w:rsid w:val="2E9C558E"/>
    <w:rsid w:val="2ED174C9"/>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5EE2296"/>
    <w:rsid w:val="67BF7733"/>
    <w:rsid w:val="69624529"/>
    <w:rsid w:val="6FA8317D"/>
    <w:rsid w:val="70351356"/>
    <w:rsid w:val="71F277C9"/>
    <w:rsid w:val="723D7B75"/>
    <w:rsid w:val="725B595C"/>
    <w:rsid w:val="740726B4"/>
    <w:rsid w:val="767F00CC"/>
    <w:rsid w:val="775A5D01"/>
    <w:rsid w:val="7AEF5FC2"/>
    <w:rsid w:val="7D3F4E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qFormat/>
    <w:uiPriority w:val="1"/>
  </w:style>
  <w:style w:type="table" w:default="1" w:styleId="9">
    <w:name w:val="Normal Table"/>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Char"/>
    <w:link w:val="3"/>
    <w:semiHidden/>
    <w:qFormat/>
    <w:uiPriority w:val="99"/>
    <w:rPr>
      <w:rFonts w:ascii="Times New Roman" w:hAnsi="Times New Roman"/>
      <w:kern w:val="2"/>
      <w:sz w:val="18"/>
      <w:szCs w:val="18"/>
    </w:rPr>
  </w:style>
  <w:style w:type="character" w:customStyle="1" w:styleId="17">
    <w:name w:val="批注主题 Char"/>
    <w:link w:val="8"/>
    <w:semiHidden/>
    <w:qFormat/>
    <w:uiPriority w:val="99"/>
    <w:rPr>
      <w:rFonts w:ascii="Times New Roman" w:hAnsi="Times New Roman"/>
      <w:b/>
      <w:bCs/>
      <w:kern w:val="2"/>
      <w:sz w:val="21"/>
    </w:rPr>
  </w:style>
  <w:style w:type="character" w:customStyle="1" w:styleId="18">
    <w:name w:val="批注文字 Char"/>
    <w:link w:val="2"/>
    <w:semiHidden/>
    <w:qFormat/>
    <w:uiPriority w:val="99"/>
    <w:rPr>
      <w:rFonts w:ascii="Times New Roman" w:hAnsi="Times New Roman"/>
      <w:kern w:val="2"/>
      <w:sz w:val="21"/>
    </w:rPr>
  </w:style>
  <w:style w:type="character" w:customStyle="1" w:styleId="19">
    <w:name w:val="页眉 Char"/>
    <w:link w:val="5"/>
    <w:semiHidden/>
    <w:qFormat/>
    <w:uiPriority w:val="99"/>
    <w:rPr>
      <w:sz w:val="18"/>
      <w:szCs w:val="18"/>
    </w:rPr>
  </w:style>
  <w:style w:type="character" w:customStyle="1" w:styleId="20">
    <w:name w:val="HTML 预设格式 Char"/>
    <w:link w:val="6"/>
    <w:semiHidden/>
    <w:qFormat/>
    <w:uiPriority w:val="99"/>
    <w:rPr>
      <w:rFonts w:ascii="宋体" w:hAnsi="宋体" w:cs="宋体"/>
      <w:sz w:val="24"/>
      <w:szCs w:val="24"/>
    </w:rPr>
  </w:style>
  <w:style w:type="character" w:customStyle="1" w:styleId="21">
    <w:name w:val="页脚 Char"/>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2146</Words>
  <Characters>12234</Characters>
  <Lines>101</Lines>
  <Paragraphs>28</Paragraphs>
  <TotalTime>0</TotalTime>
  <ScaleCrop>false</ScaleCrop>
  <LinksUpToDate>false</LinksUpToDate>
  <CharactersWithSpaces>14352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2023-02-16T08:53:32Z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