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r>
        <w:rPr>
          <w:rFonts w:hint="eastAsia" w:ascii="黑体" w:eastAsia="黑体"/>
          <w:sz w:val="30"/>
          <w:szCs w:val="30"/>
        </w:rPr>
        <w:t xml:space="preserve"> 温州银行“金鹿理财-普惠季享”</w:t>
      </w:r>
      <w:r>
        <w:rPr>
          <w:rFonts w:hint="eastAsia" w:ascii="黑体" w:eastAsia="黑体"/>
          <w:color w:val="000000"/>
          <w:sz w:val="30"/>
          <w:szCs w:val="30"/>
          <w:u w:val="single"/>
          <w:lang w:val="en-US" w:eastAsia="zh-CN"/>
        </w:rPr>
        <w:t>6</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2" w:lineRule="auto"/>
        <w:rPr>
          <w:rFonts w:ascii="宋体" w:hAnsi="宋体"/>
          <w:b/>
          <w:szCs w:val="21"/>
        </w:rPr>
      </w:pPr>
      <w:r>
        <w:rPr>
          <w:rFonts w:hint="eastAsia" w:ascii="宋体" w:hAnsi="宋体"/>
          <w:b/>
          <w:szCs w:val="21"/>
        </w:rPr>
        <w:t>尊敬的客户：</w:t>
      </w:r>
    </w:p>
    <w:p>
      <w:pPr>
        <w:adjustRightInd w:val="0"/>
        <w:snapToGrid w:val="0"/>
        <w:spacing w:line="302"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2"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普惠季享”</w:t>
      </w:r>
      <w:r>
        <w:rPr>
          <w:rFonts w:hint="eastAsia"/>
          <w:color w:val="000000"/>
          <w:szCs w:val="21"/>
          <w:u w:val="single"/>
          <w:lang w:val="en-US" w:eastAsia="zh-CN"/>
        </w:rPr>
        <w:t>6</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color w:val="000000"/>
          <w:szCs w:val="21"/>
        </w:rPr>
        <w:t>“金鹿理财-普惠</w:t>
      </w:r>
      <w:r>
        <w:rPr>
          <w:rFonts w:hint="eastAsia" w:ascii="宋体" w:hAnsi="宋体"/>
          <w:color w:val="000000"/>
          <w:szCs w:val="21"/>
          <w:lang w:eastAsia="zh-CN"/>
        </w:rPr>
        <w:t>季享”6号</w:t>
      </w:r>
      <w:r>
        <w:rPr>
          <w:rFonts w:hint="eastAsia" w:ascii="宋体" w:hAnsi="宋体"/>
          <w:color w:val="000000"/>
          <w:szCs w:val="21"/>
        </w:rPr>
        <w:t>开放式净值</w:t>
      </w:r>
      <w:r>
        <w:rPr>
          <w:rFonts w:hint="eastAsia"/>
          <w:szCs w:val="21"/>
        </w:rPr>
        <w:t>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2"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2"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2" w:lineRule="auto"/>
        <w:ind w:firstLine="420"/>
        <w:rPr>
          <w:rFonts w:ascii="宋体" w:hAnsi="宋体"/>
          <w:szCs w:val="21"/>
        </w:rPr>
      </w:pPr>
      <w:r>
        <w:rPr>
          <w:rFonts w:hint="eastAsia" w:ascii="宋体" w:hAnsi="宋体"/>
          <w:color w:val="000000"/>
          <w:szCs w:val="21"/>
        </w:rPr>
        <w:t>三、本风险揭示书及《温州银行“金鹿理财-普惠</w:t>
      </w:r>
      <w:r>
        <w:rPr>
          <w:rFonts w:hint="eastAsia" w:ascii="宋体" w:hAnsi="宋体"/>
          <w:color w:val="000000"/>
          <w:szCs w:val="21"/>
          <w:lang w:eastAsia="zh-CN"/>
        </w:rPr>
        <w:t>季享”6号</w:t>
      </w:r>
      <w:r>
        <w:rPr>
          <w:rFonts w:hint="eastAsia" w:ascii="宋体" w:hAnsi="宋体"/>
          <w:color w:val="000000"/>
          <w:szCs w:val="21"/>
        </w:rPr>
        <w:t>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普惠</w:t>
      </w:r>
      <w:r>
        <w:rPr>
          <w:rFonts w:hint="eastAsia" w:ascii="宋体" w:hAnsi="宋体"/>
          <w:color w:val="000000"/>
          <w:szCs w:val="21"/>
          <w:lang w:eastAsia="zh-CN"/>
        </w:rPr>
        <w:t>季享”6号</w:t>
      </w:r>
      <w:r>
        <w:rPr>
          <w:rFonts w:hint="eastAsia" w:ascii="宋体" w:hAnsi="宋体"/>
          <w:color w:val="000000"/>
          <w:szCs w:val="21"/>
        </w:rPr>
        <w:t>开放式净值型银行理财计划产品说明书》、《温州银行“金鹿理财-普惠</w:t>
      </w:r>
      <w:r>
        <w:rPr>
          <w:rFonts w:hint="eastAsia" w:ascii="宋体" w:hAnsi="宋体"/>
          <w:color w:val="000000"/>
          <w:szCs w:val="21"/>
          <w:lang w:eastAsia="zh-CN"/>
        </w:rPr>
        <w:t>季享”6号</w:t>
      </w:r>
      <w:r>
        <w:rPr>
          <w:rFonts w:hint="eastAsia" w:ascii="宋体" w:hAnsi="宋体"/>
          <w:color w:val="000000"/>
          <w:szCs w:val="21"/>
        </w:rPr>
        <w:t>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2"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2" w:lineRule="auto"/>
        <w:ind w:firstLine="5670" w:firstLineChars="2700"/>
        <w:jc w:val="center"/>
        <w:rPr>
          <w:rFonts w:ascii="宋体" w:hAnsi="宋体"/>
          <w:b/>
          <w:sz w:val="28"/>
          <w:szCs w:val="28"/>
        </w:rPr>
      </w:pPr>
      <w:r>
        <w:rPr>
          <w:rFonts w:hint="eastAsia" w:ascii="宋体" w:hAnsi="宋体"/>
          <w:szCs w:val="21"/>
        </w:rPr>
        <w:t>风险揭示方：温州银行股份有限公司</w:t>
      </w:r>
      <w:r>
        <w:rPr>
          <w:rFonts w:hint="eastAsia" w:ascii="宋体" w:hAnsi="宋体"/>
          <w:b/>
          <w:sz w:val="28"/>
          <w:szCs w:val="28"/>
        </w:rPr>
        <w:t>客户确认栏</w:t>
      </w:r>
    </w:p>
    <w:p>
      <w:pPr>
        <w:adjustRightInd w:val="0"/>
        <w:snapToGrid w:val="0"/>
        <w:spacing w:line="312" w:lineRule="auto"/>
        <w:rPr>
          <w:b/>
          <w:szCs w:val="21"/>
        </w:rPr>
      </w:pPr>
      <w:r>
        <w:rPr>
          <w:rFonts w:hint="eastAsia"/>
          <w:b/>
          <w:szCs w:val="21"/>
        </w:rPr>
        <w:t>本人经温州银行评估的风险承受能力等级为（客户填写）：</w:t>
      </w:r>
    </w:p>
    <w:p>
      <w:pPr>
        <w:adjustRightInd w:val="0"/>
        <w:snapToGrid w:val="0"/>
        <w:spacing w:line="312"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12"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12" w:lineRule="auto"/>
        <w:rPr>
          <w:b/>
          <w:szCs w:val="21"/>
        </w:rPr>
      </w:pPr>
      <w:r>
        <w:rPr>
          <w:rFonts w:hint="eastAsia"/>
          <w:b/>
          <w:szCs w:val="21"/>
          <w:u w:val="single"/>
        </w:rPr>
        <w:t xml:space="preserve">                                                                                 </w:t>
      </w:r>
      <w:r>
        <w:rPr>
          <w:rFonts w:hint="eastAsia"/>
          <w:szCs w:val="21"/>
        </w:rPr>
        <w:t>。</w:t>
      </w:r>
    </w:p>
    <w:p>
      <w:pPr>
        <w:adjustRightInd w:val="0"/>
        <w:snapToGrid w:val="0"/>
        <w:spacing w:line="312"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12"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rPr>
          <w:rFonts w:ascii="黑体" w:eastAsia="黑体"/>
          <w:sz w:val="30"/>
          <w:szCs w:val="30"/>
        </w:rPr>
      </w:pP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温州银行“金鹿理财-普惠季享”</w:t>
      </w:r>
      <w:r>
        <w:rPr>
          <w:rFonts w:hint="eastAsia" w:ascii="黑体" w:eastAsia="黑体"/>
          <w:color w:val="000000"/>
          <w:sz w:val="30"/>
          <w:szCs w:val="30"/>
          <w:u w:val="single"/>
          <w:lang w:val="en-US" w:eastAsia="zh-CN"/>
        </w:rPr>
        <w:t>6</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color w:val="000000"/>
          <w:sz w:val="18"/>
          <w:szCs w:val="18"/>
        </w:rPr>
        <w:t>普惠</w:t>
      </w:r>
      <w:r>
        <w:rPr>
          <w:rFonts w:hint="eastAsia"/>
          <w:color w:val="000000"/>
          <w:sz w:val="18"/>
          <w:szCs w:val="18"/>
          <w:lang w:eastAsia="zh-CN"/>
        </w:rPr>
        <w:t>季享”6号</w:t>
      </w:r>
      <w:r>
        <w:rPr>
          <w:rFonts w:hint="eastAsia"/>
          <w:color w:val="000000"/>
          <w:sz w:val="18"/>
          <w:szCs w:val="18"/>
        </w:rPr>
        <w:t>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9"/>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1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2" name="Picture 3"/>
                        <wps:cNvSpPr>
                          <a:spLocks noChangeAspect="1" noTextEdit="1"/>
                        </wps:cNvSpPr>
                        <wps:spPr>
                          <a:xfrm>
                            <a:off x="0" y="0"/>
                            <a:ext cx="6188" cy="2986"/>
                          </a:xfrm>
                          <a:prstGeom prst="rect">
                            <a:avLst/>
                          </a:prstGeom>
                          <a:noFill/>
                          <a:ln>
                            <a:noFill/>
                          </a:ln>
                        </wps:spPr>
                        <wps:bodyPr upright="1"/>
                      </wps:wsp>
                      <wps:wsp>
                        <wps:cNvPr id="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1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">
                <o:lock v:ext="edit" rotation="t" aspectratio="f"/>
                <v:rect id="Picture 3" o:spid="_x0000_s1026" o:spt="1" style="position:absolute;left:0;top:0;height:2986;width:6188;" filled="f" stroked="f" coordsize="21600,21600" o:gfxdata="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zqtzq8AAAA&#10;2gAAAA8AAAAAAAAAAQAgAAAAIgAAAGRycy9kb3ducmV2LnhtbFBLAQIUABQAAAAIAIdO4kAzLwWe&#10;OwAAADkAAAAQAAAAAAAAAAEAIAAAAAsBAABkcnMvc2hhcGV4bWwueG1sUEsFBgAAAAAGAAYAWwEA&#10;ALUDA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5tzD8r4AAADa&#10;AAAADwAAAGRycy9kb3ducmV2LnhtbEWPT2vCQBTE74V+h+UVvNVNFCSkrh4Ei+CfYixFb4/sMwnN&#10;vg27q8Zv3xWEHoeZ+Q0znfemFVdyvrGsIB0mIIhLqxuuFHwflu8ZCB+QNbaWScGdPMxnry9TzLW9&#10;8Z6uRahEhLDPUUEdQpdL6cuaDPqh7Yijd7bOYIjSVVI7vEW4aeUoSSbSYMNxocaOFjWVv8XFKNhv&#10;luvsZ33pS3f6THeHr8326DOlBm9p8gEiUB/+w8/2SisYw+NKvAFy9g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5tzD8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R4CNdr4AAADa&#10;AAAADwAAAGRycy9kb3ducmV2LnhtbEWPQWvCQBSE7wX/w/IEb3WTYotNXT1IC55K1SL09si+JtHs&#10;23T3aay/3hUKPQ4z8w0zW5xdq04UYuPZQD7OQBGX3jZcGfjcvt1PQUVBtth6JgO/FGExH9zNsLC+&#10;5zWdNlKpBOFYoIFapCu0jmVNDuPYd8TJ+/bBoSQZKm0D9gnuWv2QZU/aYcNpocaOljWVh83RGXje&#10;9o/+Ixx2k7z5+bq87qVbvYsxo2GevYASOst/+K+9sgYmcLuSboCeXw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R4CNd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Z1uaSr0AAADa&#10;AAAADwAAAGRycy9kb3ducmV2LnhtbEWPzW7CMBCE70h9B2sr9QY2IKo2YDi0ApVjCJfetvGSpI3X&#10;Uez8tE+PkSpxHM3MN5rNbrS16Kn1lWMN85kCQZw7U3Gh4Zztpy8gfEA2WDsmDb/kYbd9mGwwMW7g&#10;lPpTKESEsE9QQxlCk0jp85Is+plriKN3ca3FEGVbSNPiEOG2lgulnqXFiuNCiQ29lZT/nDqr4ata&#10;nPEvzQ7Kvu6X4Thm393nu9ZPj3O1BhFoDPfwf/vDaFjB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nW5pK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P0yiQbwAAADa&#10;AAAADwAAAGRycy9kb3ducmV2LnhtbEWPS4vCQBCE7wv7H4Ze8LZOFJQYM3rwhV5kjeK5yXQemOkJ&#10;mfH17x1B2GNRVV9R6fxhGnGjztWWFQz6EQji3OqaSwWn4/o3BuE8ssbGMil4koP57PsrxUTbOx/o&#10;lvlSBAi7BBVU3reJlC6vyKDr25Y4eIXtDPogu1LqDu8Bbho5jKKxNFhzWKiwpUVF+SW7GgWbU7u7&#10;ZIvnMN7/jVZZvDxPiv1Zqd7PIJqC8PTw/+FPe6sVjOF9JdwAOXs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9MokG8AAAA&#10;2g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MWhpr0AAADa&#10;AAAADwAAAGRycy9kb3ducmV2LnhtbEWPzW7CMBCE70h9B2sr9QY2INE2YDi0ApVjCJfetvGSpI3X&#10;Uez8tE+PkSpxHM3MN5rNbrS16Kn1lWMN85kCQZw7U3Gh4Zztpy8gfEA2WDsmDb/kYbd9mGwwMW7g&#10;lPpTKESEsE9QQxlCk0jp85Is+plriKN3ca3FEGVbSNPiEOG2lgulVtJixXGhxIbeSsp/Tp3V8FUt&#10;zviXZgdlX/fLcByz7+7zXeunx7lagwg0hnv4v/1hNDzD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4xaGm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iVo11LkAAADa&#10;AAAADwAAAGRycy9kb3ducmV2LnhtbEVPPW/CMBDdK/EfrENiKzYgoZLGYQBRlTGEhe2Ir0na+BzF&#10;hoT++npA6vj0vtPtaFtxp943jjUs5goEcelMw5WGc3F4fQPhA7LB1jFpeJCHbTZ5STExbuCc7qdQ&#10;iRjCPkENdQhdIqUva7Lo564jjtyX6y2GCPtKmh6HGG5buVRqLS02HBtq7GhXU/lzulkN12Z5xt+8&#10;+FB2c1iF41h83y57rWfThXoHEWgM/+Kn+9NoiFvjlXgDZPYH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IlaNdS5AAAA2gAA&#10;AA8AAAAAAAAAAQAgAAAAIgAAAGRycy9kb3ducmV2LnhtbFBLAQIUABQAAAAIAIdO4kAzLwWeOwAA&#10;ADkAAAAQAAAAAAAAAAEAIAAAAAgBAABkcnMvc2hhcGV4bWwueG1sUEsFBgAAAAAGAAYAWwEAALID&#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5haQT7wAAADa&#10;AAAADwAAAGRycy9kb3ducmV2LnhtbEWPwW7CMBBE75X4B2uReis2qVRBiuEACmqPIVy4beMlCcTr&#10;KDYk7dfXlSpxHM3MG81qM9pW3Kn3jWMN85kCQVw603Cl4VhkLwsQPiAbbB2Thm/ysFlPnlaYGjdw&#10;TvdDqESEsE9RQx1Cl0rpy5os+pnriKN3dr3FEGVfSdPjEOG2lYlSb9Jiw3Ghxo62NZXXw81q+GqS&#10;I/7kxV7ZZfYaPsficjvttH6eztU7iEBjeIT/2x9GwxL+rsQbINe/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OYWkE+8AAAA&#10;2g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ptvIKb0AAADb&#10;AAAADwAAAGRycy9kb3ducmV2LnhtbEWPQWvCQBCF7wX/wzKCt7prtUGjqwdBKLQeqoVeh+yYBLOz&#10;Mbtq+u87B8HbDO/Ne9+sNr1v1I26WAe2MBkbUMRFcDWXFn6Ou9c5qJiQHTaBycIfRdisBy8rzF24&#10;8zfdDqlUEsIxRwtVSm2udSwq8hjHoSUW7RQ6j0nWrtSuw7uE+0a/GZNpjzVLQ4UtbSsqzoert4DZ&#10;zF32p+nX8fOa4aLsze7911g7Gk7MElSiPj3Nj+sPJ/hCL7/IAHr9D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m28gpvQAA&#10;ANsAAAAPAAAAAAAAAAEAIAAAACIAAABkcnMvZG93bnJldi54bWxQSwECFAAUAAAACACHTuJAMy8F&#10;njsAAAA5AAAAEAAAAAAAAAABACAAAAAMAQAAZHJzL3NoYXBleG1sLnhtbFBLBQYAAAAABgAGAFsB&#10;AAC2Aw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9"/>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sz w:val="18"/>
                <w:szCs w:val="18"/>
              </w:rPr>
              <w:t xml:space="preserve"> “金鹿理财-普惠季享”</w:t>
            </w:r>
            <w:r>
              <w:rPr>
                <w:rFonts w:hint="eastAsia"/>
                <w:color w:val="000000"/>
                <w:sz w:val="18"/>
                <w:szCs w:val="18"/>
                <w:u w:val="single"/>
                <w:lang w:val="en-US" w:eastAsia="zh-CN"/>
              </w:rPr>
              <w:t>6</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hint="eastAsia" w:eastAsia="宋体"/>
                <w:sz w:val="18"/>
                <w:szCs w:val="18"/>
                <w:lang w:eastAsia="zh-CN"/>
              </w:rPr>
            </w:pPr>
            <w:r>
              <w:rPr>
                <w:rFonts w:hint="eastAsia"/>
                <w:color w:val="000000"/>
                <w:sz w:val="18"/>
                <w:szCs w:val="18"/>
              </w:rPr>
              <w:t>JX00</w:t>
            </w:r>
            <w:r>
              <w:rPr>
                <w:rFonts w:hint="eastAsia"/>
                <w:color w:val="000000"/>
                <w:sz w:val="18"/>
                <w:szCs w:val="18"/>
                <w:lang w:val="en-US" w:eastAsia="zh-CN"/>
              </w:rPr>
              <w:t>06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hint="eastAsia" w:hAnsi="Calibri" w:eastAsia="宋体"/>
                <w:sz w:val="18"/>
                <w:szCs w:val="18"/>
                <w:lang w:eastAsia="zh-CN"/>
              </w:rPr>
            </w:pPr>
            <w:r>
              <w:rPr>
                <w:rFonts w:hint="eastAsia" w:hAnsi="Calibri"/>
                <w:sz w:val="18"/>
                <w:szCs w:val="18"/>
              </w:rPr>
              <w:t>C10922210001</w:t>
            </w:r>
            <w:r>
              <w:rPr>
                <w:rFonts w:hint="eastAsia" w:hAnsi="Calibri"/>
                <w:sz w:val="18"/>
                <w:szCs w:val="18"/>
                <w:lang w:val="en-US" w:eastAsia="zh-CN"/>
              </w:rPr>
              <w:t>49</w:t>
            </w:r>
          </w:p>
          <w:p>
            <w:pPr>
              <w:pStyle w:val="14"/>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350"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发行规模上限50亿份，首个投资运作周期发行规模不超过5亿份。若产品发行规模超出上限，银行有权暂停接受认购</w:t>
            </w:r>
            <w:r>
              <w:rPr>
                <w:rFonts w:hint="eastAsia"/>
                <w:sz w:val="18"/>
                <w:szCs w:val="18"/>
              </w:rPr>
              <w:t>（申购）</w:t>
            </w:r>
            <w:r>
              <w:rPr>
                <w:rFonts w:hint="eastAsia" w:cs="Times New Roman"/>
                <w:sz w:val="18"/>
                <w:szCs w:val="18"/>
              </w:rPr>
              <w:t>申请。（温州银行有权根据产品募集和市场情况调整计划发行量。若认购</w:t>
            </w:r>
            <w:r>
              <w:rPr>
                <w:rFonts w:hint="eastAsia"/>
                <w:sz w:val="18"/>
                <w:szCs w:val="18"/>
              </w:rPr>
              <w:t>（申购）</w:t>
            </w:r>
            <w:r>
              <w:rPr>
                <w:rFonts w:hint="eastAsia" w:cs="Times New Roman"/>
                <w:sz w:val="18"/>
                <w:szCs w:val="18"/>
              </w:rPr>
              <w:t>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u w:val="single"/>
              </w:rPr>
            </w:pPr>
            <w:r>
              <w:rPr>
                <w:rFonts w:hint="eastAsia"/>
                <w:sz w:val="18"/>
                <w:szCs w:val="18"/>
                <w:u w:val="single"/>
              </w:rPr>
              <w:t>2021年</w:t>
            </w:r>
            <w:r>
              <w:rPr>
                <w:rFonts w:hint="eastAsia"/>
                <w:sz w:val="18"/>
                <w:szCs w:val="18"/>
                <w:u w:val="single"/>
                <w:lang w:val="en-US" w:eastAsia="zh-CN"/>
              </w:rPr>
              <w:t>6</w:t>
            </w:r>
            <w:r>
              <w:rPr>
                <w:rFonts w:hint="eastAsia"/>
                <w:sz w:val="18"/>
                <w:szCs w:val="18"/>
                <w:u w:val="single"/>
              </w:rPr>
              <w:t>月</w:t>
            </w:r>
            <w:r>
              <w:rPr>
                <w:rFonts w:hint="eastAsia"/>
                <w:sz w:val="18"/>
                <w:szCs w:val="18"/>
                <w:u w:val="single"/>
                <w:lang w:val="en-US" w:eastAsia="zh-CN"/>
              </w:rPr>
              <w:t>29</w:t>
            </w:r>
            <w:r>
              <w:rPr>
                <w:rFonts w:hint="eastAsia"/>
                <w:sz w:val="18"/>
                <w:szCs w:val="18"/>
                <w:u w:val="single"/>
              </w:rPr>
              <w:t>日至2021年</w:t>
            </w:r>
            <w:r>
              <w:rPr>
                <w:rFonts w:hint="eastAsia"/>
                <w:sz w:val="18"/>
                <w:szCs w:val="18"/>
                <w:u w:val="single"/>
                <w:lang w:val="en-US" w:eastAsia="zh-CN"/>
              </w:rPr>
              <w:t>7</w:t>
            </w:r>
            <w:r>
              <w:rPr>
                <w:rFonts w:hint="eastAsia"/>
                <w:sz w:val="18"/>
                <w:szCs w:val="18"/>
                <w:u w:val="single"/>
              </w:rPr>
              <w:t>月</w:t>
            </w:r>
            <w:r>
              <w:rPr>
                <w:rFonts w:hint="eastAsia"/>
                <w:sz w:val="18"/>
                <w:szCs w:val="18"/>
                <w:u w:val="single"/>
                <w:lang w:val="en-US" w:eastAsia="zh-CN"/>
              </w:rPr>
              <w:t>5</w:t>
            </w:r>
            <w:r>
              <w:rPr>
                <w:rFonts w:hint="eastAsia"/>
                <w:sz w:val="18"/>
                <w:szCs w:val="18"/>
                <w:u w:val="single"/>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color w:val="000000"/>
                <w:sz w:val="18"/>
                <w:szCs w:val="18"/>
              </w:rPr>
              <w:t>首个投资运作周期的业绩比较基准为4.</w:t>
            </w:r>
            <w:r>
              <w:rPr>
                <w:rFonts w:hint="eastAsia" w:cs="Times New Roman"/>
                <w:color w:val="000000"/>
                <w:sz w:val="18"/>
                <w:szCs w:val="18"/>
                <w:lang w:val="en-US" w:eastAsia="zh-CN"/>
              </w:rPr>
              <w:t>1</w:t>
            </w:r>
            <w:r>
              <w:rPr>
                <w:rFonts w:hint="eastAsia" w:cs="Times New Roman"/>
                <w:color w:val="000000"/>
                <w:sz w:val="18"/>
                <w:szCs w:val="18"/>
              </w:rPr>
              <w:t>5%（年化）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olor w:val="000000"/>
                <w:sz w:val="18"/>
                <w:szCs w:val="18"/>
              </w:rPr>
              <w:t>本理财计划成立日为2021年</w:t>
            </w:r>
            <w:r>
              <w:rPr>
                <w:rFonts w:hint="eastAsia"/>
                <w:color w:val="000000"/>
                <w:sz w:val="18"/>
                <w:szCs w:val="18"/>
                <w:lang w:val="en-US" w:eastAsia="zh-CN"/>
              </w:rPr>
              <w:t>7</w:t>
            </w:r>
            <w:r>
              <w:rPr>
                <w:rFonts w:hint="eastAsia"/>
                <w:color w:val="000000"/>
                <w:sz w:val="18"/>
                <w:szCs w:val="18"/>
              </w:rPr>
              <w:t>月</w:t>
            </w:r>
            <w:r>
              <w:rPr>
                <w:rFonts w:hint="eastAsia"/>
                <w:color w:val="000000"/>
                <w:sz w:val="18"/>
                <w:szCs w:val="18"/>
                <w:lang w:val="en-US" w:eastAsia="zh-CN"/>
              </w:rPr>
              <w:t>6</w:t>
            </w:r>
            <w:r>
              <w:rPr>
                <w:rFonts w:hint="eastAsia"/>
                <w:color w:val="000000"/>
                <w:sz w:val="18"/>
                <w:szCs w:val="18"/>
              </w:rPr>
              <w:t>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sz w:val="18"/>
                <w:lang w:eastAsia="zh-CN"/>
              </w:rPr>
              <w:t>【94】</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lang w:eastAsia="zh-CN"/>
              </w:rPr>
              <w:t>【94】</w:t>
            </w:r>
            <w:r>
              <w:rPr>
                <w:rFonts w:ascii="宋体" w:hAnsi="宋体"/>
                <w:sz w:val="18"/>
              </w:rPr>
              <w:t>天。投资周期终止日如遇非工作日则</w:t>
            </w:r>
            <w:r>
              <w:rPr>
                <w:rFonts w:hint="eastAsia" w:ascii="宋体" w:hAnsi="宋体"/>
                <w:sz w:val="18"/>
              </w:rPr>
              <w:t>顺延至下一个工作日</w:t>
            </w:r>
            <w:r>
              <w:rPr>
                <w:rFonts w:ascii="宋体" w:hAnsi="宋体"/>
                <w:kern w:val="0"/>
                <w:sz w:val="18"/>
              </w:rPr>
              <w:t>。</w:t>
            </w:r>
            <w:r>
              <w:rPr>
                <w:rFonts w:hint="eastAsia" w:ascii="宋体" w:hAnsi="宋体"/>
                <w:kern w:val="0"/>
                <w:sz w:val="18"/>
              </w:rPr>
              <w:t>每个投资运作周期的相关产品要素及具体日期请参照</w:t>
            </w:r>
            <w:r>
              <w:rPr>
                <w:rFonts w:hint="eastAsia"/>
                <w:color w:val="000000"/>
                <w:sz w:val="18"/>
                <w:szCs w:val="18"/>
              </w:rPr>
              <w:t>《温州银行“金鹿理财-普惠</w:t>
            </w:r>
            <w:r>
              <w:rPr>
                <w:rFonts w:hint="eastAsia"/>
                <w:color w:val="000000"/>
                <w:sz w:val="18"/>
                <w:szCs w:val="18"/>
                <w:lang w:eastAsia="zh-CN"/>
              </w:rPr>
              <w:t>季享”6号</w:t>
            </w:r>
            <w:r>
              <w:rPr>
                <w:rFonts w:hint="eastAsia"/>
                <w:color w:val="000000"/>
                <w:sz w:val="18"/>
                <w:szCs w:val="18"/>
              </w:rPr>
              <w:t>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认购（申购）资金对应的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7"/>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债权类资产，部分可投资于权益类资产。具体包括但不限于银行间市场和证券交易所市场债权性资产、非标准化债权资产、公募基金、资产管理计划、信托计划、各类受（收）益权、资产支持证券、票据资产、债券型基金、股票型基金、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9"/>
        <w:tblW w:w="9400" w:type="dxa"/>
        <w:jc w:val="center"/>
        <w:tblLayout w:type="fixed"/>
        <w:tblCellMar>
          <w:top w:w="0" w:type="dxa"/>
          <w:left w:w="108" w:type="dxa"/>
          <w:bottom w:w="0" w:type="dxa"/>
          <w:right w:w="108" w:type="dxa"/>
        </w:tblCellMar>
      </w:tblPr>
      <w:tblGrid>
        <w:gridCol w:w="2081"/>
        <w:gridCol w:w="5616"/>
        <w:gridCol w:w="1703"/>
      </w:tblGrid>
      <w:tr>
        <w:tblPrEx>
          <w:tblCellMar>
            <w:top w:w="0" w:type="dxa"/>
            <w:left w:w="108" w:type="dxa"/>
            <w:bottom w:w="0" w:type="dxa"/>
            <w:right w:w="108" w:type="dxa"/>
          </w:tblCellMar>
        </w:tblPrEx>
        <w:trPr>
          <w:trHeight w:val="270" w:hRule="atLeast"/>
          <w:jc w:val="center"/>
        </w:trPr>
        <w:tc>
          <w:tcPr>
            <w:tcW w:w="208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61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08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tcBorders>
              <w:top w:val="nil"/>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股票型基金、证券投资基金以及其他符合监管要求的权益类资产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本产品的托管人为招商</w:t>
      </w:r>
      <w:r>
        <w:rPr>
          <w:sz w:val="18"/>
          <w:szCs w:val="18"/>
        </w:rPr>
        <w:t>银行股份有限公司</w:t>
      </w:r>
      <w:r>
        <w:rPr>
          <w:rFonts w:hint="eastAsia"/>
          <w:sz w:val="18"/>
          <w:szCs w:val="18"/>
        </w:rPr>
        <w:t>宁波分行，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color w:val="000000"/>
          <w:sz w:val="18"/>
          <w:szCs w:val="18"/>
        </w:rPr>
        <w:t>《温州银行“金鹿理财-普惠</w:t>
      </w:r>
      <w:r>
        <w:rPr>
          <w:rFonts w:hint="eastAsia"/>
          <w:color w:val="000000"/>
          <w:sz w:val="18"/>
          <w:szCs w:val="18"/>
          <w:lang w:eastAsia="zh-CN"/>
        </w:rPr>
        <w:t>季享”6号</w:t>
      </w:r>
      <w:r>
        <w:rPr>
          <w:rFonts w:hint="eastAsia"/>
          <w:color w:val="000000"/>
          <w:sz w:val="18"/>
          <w:szCs w:val="18"/>
        </w:rPr>
        <w:t>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color w:val="000000"/>
          <w:sz w:val="18"/>
          <w:szCs w:val="18"/>
        </w:rPr>
        <w:t>：本理财计划成立日为2021年</w:t>
      </w:r>
      <w:r>
        <w:rPr>
          <w:rFonts w:hint="eastAsia"/>
          <w:color w:val="000000"/>
          <w:sz w:val="18"/>
          <w:szCs w:val="18"/>
          <w:lang w:val="en-US" w:eastAsia="zh-CN"/>
        </w:rPr>
        <w:t>7</w:t>
      </w:r>
      <w:r>
        <w:rPr>
          <w:rFonts w:hint="eastAsia"/>
          <w:color w:val="000000"/>
          <w:sz w:val="18"/>
          <w:szCs w:val="18"/>
        </w:rPr>
        <w:t>月</w:t>
      </w:r>
      <w:r>
        <w:rPr>
          <w:rFonts w:hint="eastAsia"/>
          <w:color w:val="000000"/>
          <w:sz w:val="18"/>
          <w:szCs w:val="18"/>
          <w:lang w:val="en-US" w:eastAsia="zh-CN"/>
        </w:rPr>
        <w:t>6</w:t>
      </w:r>
      <w:r>
        <w:rPr>
          <w:rFonts w:hint="eastAsia"/>
          <w:color w:val="000000"/>
          <w:sz w:val="18"/>
          <w:szCs w:val="18"/>
        </w:rPr>
        <w:t>日，从成立日起，每</w:t>
      </w:r>
      <w:r>
        <w:rPr>
          <w:rFonts w:hint="eastAsia" w:ascii="宋体" w:hAnsi="宋体"/>
          <w:sz w:val="18"/>
          <w:lang w:eastAsia="zh-CN"/>
        </w:rPr>
        <w:t>【94】</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lang w:eastAsia="zh-CN"/>
        </w:rPr>
        <w:t>【94】</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r>
        <w:rPr>
          <w:sz w:val="18"/>
          <w:szCs w:val="18"/>
        </w:rPr>
        <w:t xml:space="preserve"> </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）投资者可于开放期内向温州银行提出赎回申请，温州银行按照先申请、先赎回原则确认赎回申请，如该赎回日内净赎回份额合计超过理财产品总份额的2</w:t>
      </w:r>
      <w:r>
        <w:rPr>
          <w:sz w:val="18"/>
          <w:szCs w:val="18"/>
        </w:rPr>
        <w:t>0%，则发生</w:t>
      </w:r>
      <w:r>
        <w:rPr>
          <w:rFonts w:hint="eastAsia"/>
          <w:sz w:val="18"/>
          <w:szCs w:val="18"/>
        </w:rPr>
        <w:t>巨额赎回事件，温州银行有权拒绝接受超过2</w:t>
      </w:r>
      <w:r>
        <w:rPr>
          <w:sz w:val="18"/>
          <w:szCs w:val="18"/>
        </w:rPr>
        <w:t>0%以上部分的赎回申请。</w:t>
      </w:r>
    </w:p>
    <w:p>
      <w:pPr>
        <w:adjustRightInd w:val="0"/>
        <w:snapToGrid w:val="0"/>
        <w:spacing w:line="286" w:lineRule="auto"/>
        <w:rPr>
          <w:sz w:val="18"/>
          <w:szCs w:val="18"/>
        </w:rPr>
      </w:pPr>
      <w:r>
        <w:rPr>
          <w:rFonts w:hint="eastAsia"/>
          <w:sz w:val="18"/>
          <w:szCs w:val="18"/>
        </w:rPr>
        <w:t>示例：如果最新理财计划总存续份额为1</w:t>
      </w:r>
      <w:r>
        <w:rPr>
          <w:sz w:val="18"/>
          <w:szCs w:val="18"/>
        </w:rPr>
        <w:t>0</w:t>
      </w:r>
      <w:r>
        <w:rPr>
          <w:rFonts w:hint="eastAsia"/>
          <w:sz w:val="18"/>
          <w:szCs w:val="18"/>
        </w:rPr>
        <w:t>亿份，在开放期内投资者净赎回达到</w:t>
      </w:r>
      <w:r>
        <w:rPr>
          <w:sz w:val="18"/>
          <w:szCs w:val="18"/>
        </w:rPr>
        <w:t>2</w:t>
      </w:r>
      <w:r>
        <w:rPr>
          <w:rFonts w:hint="eastAsia"/>
          <w:sz w:val="18"/>
          <w:szCs w:val="18"/>
        </w:rPr>
        <w:t>亿份，温州银行有权拒绝确认</w:t>
      </w:r>
      <w:r>
        <w:rPr>
          <w:sz w:val="18"/>
          <w:szCs w:val="18"/>
        </w:rPr>
        <w:t>2</w:t>
      </w:r>
      <w:r>
        <w:rPr>
          <w:rFonts w:hint="eastAsia"/>
          <w:sz w:val="18"/>
          <w:szCs w:val="18"/>
        </w:rPr>
        <w:t>亿份之后的赎回申请，相应的投资者当期无法赎回理财计划份额。</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rPr>
        <w:t>千元或人民币</w:t>
      </w:r>
      <w:r>
        <w:rPr>
          <w:sz w:val="18"/>
          <w:szCs w:val="18"/>
        </w:rPr>
        <w:t>1</w:t>
      </w:r>
      <w:r>
        <w:rPr>
          <w:rFonts w:hint="eastAsia"/>
          <w:sz w:val="18"/>
          <w:szCs w:val="18"/>
        </w:rPr>
        <w:t>千元的整数倍。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sz w:val="18"/>
          <w:szCs w:val="18"/>
        </w:rPr>
      </w:pPr>
      <w:r>
        <w:rPr>
          <w:rFonts w:hint="eastAsia"/>
          <w:color w:val="000000"/>
          <w:sz w:val="18"/>
          <w:szCs w:val="18"/>
        </w:rPr>
        <w:t>本产品预计到期终止日为2031年</w:t>
      </w:r>
      <w:r>
        <w:rPr>
          <w:rFonts w:hint="eastAsia"/>
          <w:color w:val="000000"/>
          <w:sz w:val="18"/>
          <w:szCs w:val="18"/>
          <w:lang w:val="en-US" w:eastAsia="zh-CN"/>
        </w:rPr>
        <w:t>7</w:t>
      </w:r>
      <w:r>
        <w:rPr>
          <w:rFonts w:hint="eastAsia"/>
          <w:color w:val="000000"/>
          <w:sz w:val="18"/>
          <w:szCs w:val="18"/>
        </w:rPr>
        <w:t>月</w:t>
      </w:r>
      <w:r>
        <w:rPr>
          <w:rFonts w:hint="eastAsia"/>
          <w:color w:val="000000"/>
          <w:sz w:val="18"/>
          <w:szCs w:val="18"/>
          <w:lang w:val="en-US" w:eastAsia="zh-CN"/>
        </w:rPr>
        <w:t>6</w:t>
      </w:r>
      <w:bookmarkStart w:id="0" w:name="_GoBack"/>
      <w:bookmarkEnd w:id="0"/>
      <w:r>
        <w:rPr>
          <w:rFonts w:hint="eastAsia"/>
          <w:color w:val="000000"/>
          <w:sz w:val="18"/>
          <w:szCs w:val="18"/>
        </w:rPr>
        <w:t>日</w:t>
      </w:r>
      <w:r>
        <w:rPr>
          <w:rFonts w:hint="eastAsia"/>
          <w:color w:val="000000"/>
          <w:sz w:val="18"/>
        </w:rPr>
        <w:t>，</w:t>
      </w:r>
      <w:r>
        <w:rPr>
          <w:rFonts w:hint="eastAsia"/>
          <w:sz w:val="18"/>
          <w:szCs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w:t>
      </w:r>
      <w:r>
        <w:rPr>
          <w:rFonts w:hint="eastAsia" w:ascii="宋体" w:hAnsi="宋体"/>
          <w:sz w:val="18"/>
          <w:lang w:val="zh-CN"/>
        </w:rPr>
        <w:t>每个投资运作周期到期日</w:t>
      </w:r>
      <w:r>
        <w:rPr>
          <w:rFonts w:hint="eastAsia"/>
          <w:sz w:val="18"/>
          <w:szCs w:val="18"/>
        </w:rPr>
        <w:t>从理财计划财产中扣除。</w:t>
      </w:r>
    </w:p>
    <w:p>
      <w:pPr>
        <w:adjustRightInd w:val="0"/>
        <w:snapToGrid w:val="0"/>
        <w:spacing w:line="286" w:lineRule="auto"/>
        <w:rPr>
          <w:sz w:val="18"/>
          <w:szCs w:val="18"/>
        </w:rPr>
      </w:pPr>
      <w:r>
        <w:rPr>
          <w:rFonts w:hint="eastAsia"/>
          <w:sz w:val="18"/>
          <w:szCs w:val="18"/>
        </w:rPr>
        <w:t>（2）理财管理人的浮动管理费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（3）理财托管人的托管费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（1）计算公式</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w:t>
      </w:r>
      <w:r>
        <w:rPr>
          <w:rFonts w:hint="eastAsia" w:ascii="宋体" w:hAnsi="宋体"/>
          <w:sz w:val="18"/>
          <w:szCs w:val="18"/>
        </w:rPr>
        <w:t>、资本市场</w:t>
      </w:r>
      <w:r>
        <w:rPr>
          <w:rFonts w:ascii="宋体" w:hAnsi="宋体"/>
          <w:sz w:val="18"/>
          <w:szCs w:val="18"/>
        </w:rPr>
        <w:t>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 xml:space="preserve"> = </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 xml:space="preserve"> = </w:t>
      </w:r>
      <w:r>
        <w:rPr>
          <w:rFonts w:hint="eastAsia"/>
          <w:sz w:val="18"/>
          <w:szCs w:val="18"/>
        </w:rPr>
        <w:t>理财计划到期日份额净值-认购（申购）确认日前一自然日份额净值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 xml:space="preserve"> = </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甚至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20%，则发生巨额赎回事件，温州银行有权拒绝接受超过20%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2"/>
        <w:adjustRightInd w:val="0"/>
        <w:snapToGrid w:val="0"/>
        <w:spacing w:line="286" w:lineRule="auto"/>
        <w:ind w:firstLine="0"/>
        <w:rPr>
          <w:rFonts w:ascii="宋体" w:hAnsi="宋体"/>
          <w:sz w:val="18"/>
          <w:szCs w:val="18"/>
        </w:rPr>
      </w:pPr>
      <w:r>
        <w:rPr>
          <w:rFonts w:hint="eastAsia" w:ascii="宋体" w:hAnsi="宋体"/>
          <w:sz w:val="18"/>
          <w:szCs w:val="18"/>
        </w:rPr>
        <w:t>9、利率风险：本理财产品在实际投资运作过程中，由于利率市场出现巨大变化造成本理财产品所投资产价格发生波动，从而影响理财产品投资收益的，投资者的本金和收益可能遭受部分或全部损失。</w:t>
      </w:r>
    </w:p>
    <w:p>
      <w:pPr>
        <w:pStyle w:val="12"/>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指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adjustRightInd w:val="0"/>
        <w:snapToGrid w:val="0"/>
        <w:spacing w:line="286" w:lineRule="auto"/>
        <w:rPr>
          <w:sz w:val="18"/>
          <w:szCs w:val="18"/>
        </w:rPr>
      </w:pPr>
      <w:r>
        <w:rPr>
          <w:rFonts w:hint="eastAsia"/>
          <w:sz w:val="18"/>
          <w:szCs w:val="18"/>
        </w:rPr>
        <w:t>3、临时性公告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（3）管理人将在运用暂停认购、暂停理财产品估值等措施后，3个交易日内发布相关事项公告，说明运用相关措施的原因、拟采取的应对安排等。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76" w:lineRule="auto"/>
        <w:rPr>
          <w:b/>
          <w:sz w:val="18"/>
          <w:szCs w:val="18"/>
        </w:rPr>
      </w:pPr>
      <w:r>
        <w:rPr>
          <w:rFonts w:hint="eastAsia"/>
          <w:sz w:val="18"/>
          <w:szCs w:val="18"/>
        </w:rPr>
        <w:t>温州银行对投资者所签署理财相关协议及其条款负有保密义务。温州银行将依据相关法律、法规严格履行投资者信息保密责任，除监管机构或司法机关等有权机构外，不得对其他第三方商业机构提供投资者信息。</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color w:val="000000"/>
          <w:sz w:val="18"/>
          <w:szCs w:val="18"/>
        </w:rPr>
      </w:pPr>
      <w:r>
        <w:rPr>
          <w:rFonts w:hint="eastAsia"/>
          <w:color w:val="000000"/>
          <w:sz w:val="18"/>
          <w:szCs w:val="18"/>
        </w:rPr>
        <w:t>（3）《温州银行“金鹿理财-普惠</w:t>
      </w:r>
      <w:r>
        <w:rPr>
          <w:rFonts w:hint="eastAsia"/>
          <w:color w:val="000000"/>
          <w:sz w:val="18"/>
          <w:szCs w:val="18"/>
          <w:lang w:eastAsia="zh-CN"/>
        </w:rPr>
        <w:t>季享”6号</w:t>
      </w:r>
      <w:r>
        <w:rPr>
          <w:rFonts w:hint="eastAsia"/>
          <w:color w:val="000000"/>
          <w:sz w:val="18"/>
          <w:szCs w:val="18"/>
        </w:rPr>
        <w:t>开放式净值型银行理财计划风险揭示书》、《温州银行“金鹿理财”银行理财计划合约》、《温州银行“金鹿理财-普惠</w:t>
      </w:r>
      <w:r>
        <w:rPr>
          <w:rFonts w:hint="eastAsia"/>
          <w:color w:val="000000"/>
          <w:sz w:val="18"/>
          <w:szCs w:val="18"/>
          <w:lang w:eastAsia="zh-CN"/>
        </w:rPr>
        <w:t>季享”6号</w:t>
      </w:r>
      <w:r>
        <w:rPr>
          <w:rFonts w:hint="eastAsia"/>
          <w:color w:val="000000"/>
          <w:sz w:val="18"/>
          <w:szCs w:val="18"/>
        </w:rPr>
        <w:t>开放式净值型（第i期）银行理财计划开放认购（申购）申请书》和《温州银行理财产品投资者权益须知》等销售文件中的内容与本产品说明书不一致的，以本产品说明书约定的内容为准。</w:t>
      </w:r>
    </w:p>
    <w:p>
      <w:pPr>
        <w:spacing w:before="312" w:beforeLines="100" w:line="281" w:lineRule="auto"/>
        <w:rPr>
          <w:rFonts w:ascii="宋体" w:hAnsi="宋体"/>
          <w:szCs w:val="21"/>
        </w:rPr>
      </w:pPr>
      <w:r>
        <w:rPr>
          <w:rFonts w:hint="eastAsia" w:ascii="宋体" w:hAnsi="宋体"/>
          <w:szCs w:val="21"/>
        </w:rPr>
        <w:t xml:space="preserve">         投资者签章：                                 日期：</w:t>
      </w:r>
    </w:p>
    <w:p>
      <w:pPr>
        <w:adjustRightInd w:val="0"/>
        <w:snapToGrid w:val="0"/>
        <w:spacing w:line="286" w:lineRule="auto"/>
        <w:rPr>
          <w:sz w:val="18"/>
          <w:szCs w:val="18"/>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6</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11</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3829B1D"/>
    <w:multiLevelType w:val="singleLevel"/>
    <w:tmpl w:val="03829B1D"/>
    <w:lvl w:ilvl="0" w:tentative="0">
      <w:start w:val="4"/>
      <w:numFmt w:val="decimal"/>
      <w:suff w:val="nothing"/>
      <w:lvlText w:val="%1、"/>
      <w:lvlJc w:val="left"/>
    </w:lvl>
  </w:abstractNum>
  <w:abstractNum w:abstractNumId="1">
    <w:nsid w:val="0DCAC7AF"/>
    <w:multiLevelType w:val="singleLevel"/>
    <w:tmpl w:val="0DCAC7AF"/>
    <w:lvl w:ilvl="0" w:tentative="0">
      <w:start w:val="1"/>
      <w:numFmt w:val="decimal"/>
      <w:suff w:val="nothing"/>
      <w:lvlText w:val="%1）"/>
      <w:lvlJc w:val="left"/>
    </w:lvl>
  </w:abstractNum>
  <w:abstractNum w:abstractNumId="2">
    <w:nsid w:val="63C75758"/>
    <w:multiLevelType w:val="singleLevel"/>
    <w:tmpl w:val="63C75758"/>
    <w:lvl w:ilvl="0" w:tentative="0">
      <w:start w:val="11"/>
      <w:numFmt w:val="decimal"/>
      <w:suff w:val="nothing"/>
      <w:lvlText w:val="（%1）"/>
      <w:lvlJc w:val="left"/>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0"/>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00BD4"/>
    <w:rsid w:val="0001592B"/>
    <w:rsid w:val="00021A55"/>
    <w:rsid w:val="0002448A"/>
    <w:rsid w:val="0002530D"/>
    <w:rsid w:val="00030D80"/>
    <w:rsid w:val="00037BF4"/>
    <w:rsid w:val="00057C36"/>
    <w:rsid w:val="00072738"/>
    <w:rsid w:val="00074701"/>
    <w:rsid w:val="000773B8"/>
    <w:rsid w:val="00090DCE"/>
    <w:rsid w:val="00093C1F"/>
    <w:rsid w:val="000A24D9"/>
    <w:rsid w:val="000A50E7"/>
    <w:rsid w:val="000A6768"/>
    <w:rsid w:val="000A76AD"/>
    <w:rsid w:val="000C4E56"/>
    <w:rsid w:val="000D5D81"/>
    <w:rsid w:val="000D7E58"/>
    <w:rsid w:val="000E4DFB"/>
    <w:rsid w:val="000E70C0"/>
    <w:rsid w:val="000F7091"/>
    <w:rsid w:val="000F73EB"/>
    <w:rsid w:val="001224C7"/>
    <w:rsid w:val="001327C2"/>
    <w:rsid w:val="001513E8"/>
    <w:rsid w:val="00172A27"/>
    <w:rsid w:val="00174C1E"/>
    <w:rsid w:val="00175BC0"/>
    <w:rsid w:val="001878D6"/>
    <w:rsid w:val="001A1BF7"/>
    <w:rsid w:val="001A266D"/>
    <w:rsid w:val="001B072E"/>
    <w:rsid w:val="001B3C36"/>
    <w:rsid w:val="001C4450"/>
    <w:rsid w:val="001C5082"/>
    <w:rsid w:val="001C6468"/>
    <w:rsid w:val="001D249C"/>
    <w:rsid w:val="00200136"/>
    <w:rsid w:val="00200E4E"/>
    <w:rsid w:val="00201EDB"/>
    <w:rsid w:val="00213831"/>
    <w:rsid w:val="002227DF"/>
    <w:rsid w:val="0022470B"/>
    <w:rsid w:val="00232248"/>
    <w:rsid w:val="00240506"/>
    <w:rsid w:val="002414F1"/>
    <w:rsid w:val="00254268"/>
    <w:rsid w:val="00263685"/>
    <w:rsid w:val="00270113"/>
    <w:rsid w:val="00277F68"/>
    <w:rsid w:val="00283708"/>
    <w:rsid w:val="00284CF7"/>
    <w:rsid w:val="002920DB"/>
    <w:rsid w:val="00292B4F"/>
    <w:rsid w:val="00295577"/>
    <w:rsid w:val="002B0DB2"/>
    <w:rsid w:val="002B4C51"/>
    <w:rsid w:val="002D2FEE"/>
    <w:rsid w:val="002D3346"/>
    <w:rsid w:val="002D38E1"/>
    <w:rsid w:val="002E1193"/>
    <w:rsid w:val="002F586E"/>
    <w:rsid w:val="00311060"/>
    <w:rsid w:val="00316211"/>
    <w:rsid w:val="003202D1"/>
    <w:rsid w:val="003234C3"/>
    <w:rsid w:val="00323890"/>
    <w:rsid w:val="00327CC1"/>
    <w:rsid w:val="00331715"/>
    <w:rsid w:val="00335AAB"/>
    <w:rsid w:val="00337FAA"/>
    <w:rsid w:val="00355563"/>
    <w:rsid w:val="00357FFC"/>
    <w:rsid w:val="00365AC9"/>
    <w:rsid w:val="00393B79"/>
    <w:rsid w:val="00396330"/>
    <w:rsid w:val="003B2C0B"/>
    <w:rsid w:val="003C0AAE"/>
    <w:rsid w:val="003C7E63"/>
    <w:rsid w:val="003D56A0"/>
    <w:rsid w:val="003E17D1"/>
    <w:rsid w:val="003E695A"/>
    <w:rsid w:val="00411496"/>
    <w:rsid w:val="0041376C"/>
    <w:rsid w:val="0041485A"/>
    <w:rsid w:val="004149A7"/>
    <w:rsid w:val="00417895"/>
    <w:rsid w:val="00417F06"/>
    <w:rsid w:val="00423734"/>
    <w:rsid w:val="00423CAE"/>
    <w:rsid w:val="004278C0"/>
    <w:rsid w:val="004317BE"/>
    <w:rsid w:val="00447041"/>
    <w:rsid w:val="00452A4B"/>
    <w:rsid w:val="00456806"/>
    <w:rsid w:val="004668AB"/>
    <w:rsid w:val="00470F35"/>
    <w:rsid w:val="00476925"/>
    <w:rsid w:val="004800A1"/>
    <w:rsid w:val="00483CA8"/>
    <w:rsid w:val="004C668B"/>
    <w:rsid w:val="004D22D2"/>
    <w:rsid w:val="004D78AD"/>
    <w:rsid w:val="004E1894"/>
    <w:rsid w:val="004F4867"/>
    <w:rsid w:val="004F4993"/>
    <w:rsid w:val="0050183B"/>
    <w:rsid w:val="005236A4"/>
    <w:rsid w:val="00526355"/>
    <w:rsid w:val="005333E7"/>
    <w:rsid w:val="00541381"/>
    <w:rsid w:val="00543E6B"/>
    <w:rsid w:val="0054786A"/>
    <w:rsid w:val="00560484"/>
    <w:rsid w:val="00565D6D"/>
    <w:rsid w:val="00584A33"/>
    <w:rsid w:val="005C1814"/>
    <w:rsid w:val="005C439B"/>
    <w:rsid w:val="005D00A7"/>
    <w:rsid w:val="005D1653"/>
    <w:rsid w:val="005E003B"/>
    <w:rsid w:val="005E1224"/>
    <w:rsid w:val="005F0ADF"/>
    <w:rsid w:val="005F4153"/>
    <w:rsid w:val="005F48B2"/>
    <w:rsid w:val="00606B12"/>
    <w:rsid w:val="00607D7E"/>
    <w:rsid w:val="006131D3"/>
    <w:rsid w:val="00616A9E"/>
    <w:rsid w:val="006320DF"/>
    <w:rsid w:val="00635890"/>
    <w:rsid w:val="00645D61"/>
    <w:rsid w:val="00662969"/>
    <w:rsid w:val="00675E2D"/>
    <w:rsid w:val="00677DB7"/>
    <w:rsid w:val="006807AD"/>
    <w:rsid w:val="00680B55"/>
    <w:rsid w:val="00681EA0"/>
    <w:rsid w:val="006871D5"/>
    <w:rsid w:val="006940BB"/>
    <w:rsid w:val="00696817"/>
    <w:rsid w:val="006A44DB"/>
    <w:rsid w:val="006A4DCA"/>
    <w:rsid w:val="006A5C18"/>
    <w:rsid w:val="006C2300"/>
    <w:rsid w:val="006E0989"/>
    <w:rsid w:val="006E7B4A"/>
    <w:rsid w:val="0071047A"/>
    <w:rsid w:val="0071552D"/>
    <w:rsid w:val="00715881"/>
    <w:rsid w:val="00716CFC"/>
    <w:rsid w:val="007204BD"/>
    <w:rsid w:val="0072441B"/>
    <w:rsid w:val="007250BB"/>
    <w:rsid w:val="007408D0"/>
    <w:rsid w:val="007418E8"/>
    <w:rsid w:val="007420B8"/>
    <w:rsid w:val="00767169"/>
    <w:rsid w:val="00772F1A"/>
    <w:rsid w:val="00774B99"/>
    <w:rsid w:val="00781E33"/>
    <w:rsid w:val="00784FF1"/>
    <w:rsid w:val="007948FD"/>
    <w:rsid w:val="007A0DD0"/>
    <w:rsid w:val="007A2668"/>
    <w:rsid w:val="007A6295"/>
    <w:rsid w:val="007B319B"/>
    <w:rsid w:val="007B40AA"/>
    <w:rsid w:val="007B43C7"/>
    <w:rsid w:val="007D6AB9"/>
    <w:rsid w:val="007D74E0"/>
    <w:rsid w:val="007E78B8"/>
    <w:rsid w:val="007F0FB3"/>
    <w:rsid w:val="007F7B52"/>
    <w:rsid w:val="0080322B"/>
    <w:rsid w:val="00821571"/>
    <w:rsid w:val="0083211C"/>
    <w:rsid w:val="008348C5"/>
    <w:rsid w:val="0083490C"/>
    <w:rsid w:val="008507F2"/>
    <w:rsid w:val="00853209"/>
    <w:rsid w:val="008538DA"/>
    <w:rsid w:val="00854453"/>
    <w:rsid w:val="008603CA"/>
    <w:rsid w:val="00864A10"/>
    <w:rsid w:val="00871D73"/>
    <w:rsid w:val="00875641"/>
    <w:rsid w:val="00881761"/>
    <w:rsid w:val="008826B8"/>
    <w:rsid w:val="00883377"/>
    <w:rsid w:val="008839ED"/>
    <w:rsid w:val="00883BDE"/>
    <w:rsid w:val="00884B07"/>
    <w:rsid w:val="0089389F"/>
    <w:rsid w:val="008A0854"/>
    <w:rsid w:val="008D02C9"/>
    <w:rsid w:val="008E35D2"/>
    <w:rsid w:val="008F77F3"/>
    <w:rsid w:val="00905E6C"/>
    <w:rsid w:val="0091076A"/>
    <w:rsid w:val="00913684"/>
    <w:rsid w:val="00926BDB"/>
    <w:rsid w:val="00926E46"/>
    <w:rsid w:val="009361EA"/>
    <w:rsid w:val="00940984"/>
    <w:rsid w:val="00940E8A"/>
    <w:rsid w:val="00942523"/>
    <w:rsid w:val="00955C82"/>
    <w:rsid w:val="00962E2B"/>
    <w:rsid w:val="009660F8"/>
    <w:rsid w:val="0096731D"/>
    <w:rsid w:val="009709DB"/>
    <w:rsid w:val="00971C73"/>
    <w:rsid w:val="009729A3"/>
    <w:rsid w:val="009743F3"/>
    <w:rsid w:val="0098184C"/>
    <w:rsid w:val="0098325C"/>
    <w:rsid w:val="0098666D"/>
    <w:rsid w:val="00992652"/>
    <w:rsid w:val="009943AE"/>
    <w:rsid w:val="0099651C"/>
    <w:rsid w:val="00996ED6"/>
    <w:rsid w:val="009A4BB7"/>
    <w:rsid w:val="009B2D45"/>
    <w:rsid w:val="009B5A61"/>
    <w:rsid w:val="009D4976"/>
    <w:rsid w:val="009E3D90"/>
    <w:rsid w:val="009F35B4"/>
    <w:rsid w:val="00A02C99"/>
    <w:rsid w:val="00A03C1B"/>
    <w:rsid w:val="00A30A29"/>
    <w:rsid w:val="00A34CB4"/>
    <w:rsid w:val="00A4162F"/>
    <w:rsid w:val="00A4210C"/>
    <w:rsid w:val="00A42BBA"/>
    <w:rsid w:val="00A605F7"/>
    <w:rsid w:val="00A62A1A"/>
    <w:rsid w:val="00A63A86"/>
    <w:rsid w:val="00A75676"/>
    <w:rsid w:val="00A77638"/>
    <w:rsid w:val="00A85414"/>
    <w:rsid w:val="00A9272A"/>
    <w:rsid w:val="00A94352"/>
    <w:rsid w:val="00AA0BCA"/>
    <w:rsid w:val="00AA235B"/>
    <w:rsid w:val="00AA30D2"/>
    <w:rsid w:val="00AA5EAB"/>
    <w:rsid w:val="00AA798B"/>
    <w:rsid w:val="00AB07C5"/>
    <w:rsid w:val="00AB1240"/>
    <w:rsid w:val="00AB4C88"/>
    <w:rsid w:val="00AB5E02"/>
    <w:rsid w:val="00AC0326"/>
    <w:rsid w:val="00AC4F2E"/>
    <w:rsid w:val="00AD65C5"/>
    <w:rsid w:val="00AF1EA1"/>
    <w:rsid w:val="00AF3269"/>
    <w:rsid w:val="00B01686"/>
    <w:rsid w:val="00B10799"/>
    <w:rsid w:val="00B1643B"/>
    <w:rsid w:val="00B1785B"/>
    <w:rsid w:val="00B21C5E"/>
    <w:rsid w:val="00B30DC3"/>
    <w:rsid w:val="00B37831"/>
    <w:rsid w:val="00B625CA"/>
    <w:rsid w:val="00B66B39"/>
    <w:rsid w:val="00B85F47"/>
    <w:rsid w:val="00B93D50"/>
    <w:rsid w:val="00B9709A"/>
    <w:rsid w:val="00B9734C"/>
    <w:rsid w:val="00BB0CD4"/>
    <w:rsid w:val="00BC0976"/>
    <w:rsid w:val="00BD4426"/>
    <w:rsid w:val="00BF2243"/>
    <w:rsid w:val="00BF4706"/>
    <w:rsid w:val="00BF4F90"/>
    <w:rsid w:val="00BF620E"/>
    <w:rsid w:val="00C027A1"/>
    <w:rsid w:val="00C0532A"/>
    <w:rsid w:val="00C059F8"/>
    <w:rsid w:val="00C073C2"/>
    <w:rsid w:val="00C242A5"/>
    <w:rsid w:val="00C24357"/>
    <w:rsid w:val="00C24F32"/>
    <w:rsid w:val="00C305A3"/>
    <w:rsid w:val="00C35DAF"/>
    <w:rsid w:val="00C56ED4"/>
    <w:rsid w:val="00C72133"/>
    <w:rsid w:val="00C80707"/>
    <w:rsid w:val="00C810C6"/>
    <w:rsid w:val="00C84D81"/>
    <w:rsid w:val="00C97136"/>
    <w:rsid w:val="00CA13A5"/>
    <w:rsid w:val="00CC2C76"/>
    <w:rsid w:val="00CC765E"/>
    <w:rsid w:val="00CD09FF"/>
    <w:rsid w:val="00CE617C"/>
    <w:rsid w:val="00CE7491"/>
    <w:rsid w:val="00D01626"/>
    <w:rsid w:val="00D25B32"/>
    <w:rsid w:val="00D356D1"/>
    <w:rsid w:val="00D36208"/>
    <w:rsid w:val="00D41F07"/>
    <w:rsid w:val="00D512E8"/>
    <w:rsid w:val="00D55DFB"/>
    <w:rsid w:val="00D57AFE"/>
    <w:rsid w:val="00D6260D"/>
    <w:rsid w:val="00D63C88"/>
    <w:rsid w:val="00D63DA7"/>
    <w:rsid w:val="00D70358"/>
    <w:rsid w:val="00D82A41"/>
    <w:rsid w:val="00D93FDC"/>
    <w:rsid w:val="00D94430"/>
    <w:rsid w:val="00DA3F75"/>
    <w:rsid w:val="00DB0875"/>
    <w:rsid w:val="00DB2CA3"/>
    <w:rsid w:val="00DC2B39"/>
    <w:rsid w:val="00DC65FC"/>
    <w:rsid w:val="00DC7C59"/>
    <w:rsid w:val="00DD29AD"/>
    <w:rsid w:val="00DD7530"/>
    <w:rsid w:val="00DE34C0"/>
    <w:rsid w:val="00E1017C"/>
    <w:rsid w:val="00E12E29"/>
    <w:rsid w:val="00E12F16"/>
    <w:rsid w:val="00E16528"/>
    <w:rsid w:val="00E24A4D"/>
    <w:rsid w:val="00E266E2"/>
    <w:rsid w:val="00E3238B"/>
    <w:rsid w:val="00E32508"/>
    <w:rsid w:val="00E3681B"/>
    <w:rsid w:val="00E40303"/>
    <w:rsid w:val="00E42C84"/>
    <w:rsid w:val="00E52F41"/>
    <w:rsid w:val="00E60A78"/>
    <w:rsid w:val="00E60CF4"/>
    <w:rsid w:val="00E63B73"/>
    <w:rsid w:val="00E65B25"/>
    <w:rsid w:val="00E662D2"/>
    <w:rsid w:val="00E70F57"/>
    <w:rsid w:val="00E71505"/>
    <w:rsid w:val="00E754E0"/>
    <w:rsid w:val="00E84D0D"/>
    <w:rsid w:val="00E8643F"/>
    <w:rsid w:val="00E87CB9"/>
    <w:rsid w:val="00E909CC"/>
    <w:rsid w:val="00E924AA"/>
    <w:rsid w:val="00EA75DD"/>
    <w:rsid w:val="00EB3CE4"/>
    <w:rsid w:val="00EB5277"/>
    <w:rsid w:val="00EC4367"/>
    <w:rsid w:val="00EC6311"/>
    <w:rsid w:val="00EF0939"/>
    <w:rsid w:val="00EF6E3A"/>
    <w:rsid w:val="00F049E8"/>
    <w:rsid w:val="00F10679"/>
    <w:rsid w:val="00F13828"/>
    <w:rsid w:val="00F147A8"/>
    <w:rsid w:val="00F15351"/>
    <w:rsid w:val="00F16536"/>
    <w:rsid w:val="00F41CAD"/>
    <w:rsid w:val="00F464B6"/>
    <w:rsid w:val="00F531B4"/>
    <w:rsid w:val="00F716E3"/>
    <w:rsid w:val="00F8620F"/>
    <w:rsid w:val="00F9213E"/>
    <w:rsid w:val="00F925B2"/>
    <w:rsid w:val="00F94C2E"/>
    <w:rsid w:val="00F95651"/>
    <w:rsid w:val="00FB4B88"/>
    <w:rsid w:val="00FC488B"/>
    <w:rsid w:val="00FD4E62"/>
    <w:rsid w:val="00FE2618"/>
    <w:rsid w:val="00FF5369"/>
    <w:rsid w:val="020974D0"/>
    <w:rsid w:val="03E53755"/>
    <w:rsid w:val="066C589E"/>
    <w:rsid w:val="09B94EA2"/>
    <w:rsid w:val="0CBE0DC0"/>
    <w:rsid w:val="0D932C83"/>
    <w:rsid w:val="0E3B5E45"/>
    <w:rsid w:val="0ECE1796"/>
    <w:rsid w:val="0FE54F11"/>
    <w:rsid w:val="0FE82C2F"/>
    <w:rsid w:val="126646E4"/>
    <w:rsid w:val="146B494C"/>
    <w:rsid w:val="159568EC"/>
    <w:rsid w:val="15E33B2F"/>
    <w:rsid w:val="1624383D"/>
    <w:rsid w:val="1AA621F2"/>
    <w:rsid w:val="1C705AA1"/>
    <w:rsid w:val="1CFA3565"/>
    <w:rsid w:val="1E5D6CD4"/>
    <w:rsid w:val="1E892A88"/>
    <w:rsid w:val="1EB46358"/>
    <w:rsid w:val="1F0867A6"/>
    <w:rsid w:val="1F3C3C29"/>
    <w:rsid w:val="20232307"/>
    <w:rsid w:val="2046303D"/>
    <w:rsid w:val="218313A4"/>
    <w:rsid w:val="218C0FFF"/>
    <w:rsid w:val="22D61972"/>
    <w:rsid w:val="24B5250E"/>
    <w:rsid w:val="24EC01E5"/>
    <w:rsid w:val="26391DA6"/>
    <w:rsid w:val="27136D61"/>
    <w:rsid w:val="288238BF"/>
    <w:rsid w:val="28F040F4"/>
    <w:rsid w:val="2A4A498F"/>
    <w:rsid w:val="2A895AE0"/>
    <w:rsid w:val="2E9C558E"/>
    <w:rsid w:val="2ED174C9"/>
    <w:rsid w:val="2FC76C1D"/>
    <w:rsid w:val="309C114C"/>
    <w:rsid w:val="323E181F"/>
    <w:rsid w:val="329B527D"/>
    <w:rsid w:val="372A2254"/>
    <w:rsid w:val="38AD607F"/>
    <w:rsid w:val="39F24DBC"/>
    <w:rsid w:val="3C2600FF"/>
    <w:rsid w:val="3C2F4817"/>
    <w:rsid w:val="3D8657D9"/>
    <w:rsid w:val="3E773417"/>
    <w:rsid w:val="40876BD9"/>
    <w:rsid w:val="41696BFE"/>
    <w:rsid w:val="41A2557E"/>
    <w:rsid w:val="42E80146"/>
    <w:rsid w:val="430E3733"/>
    <w:rsid w:val="44020BD3"/>
    <w:rsid w:val="45880862"/>
    <w:rsid w:val="46616490"/>
    <w:rsid w:val="472A2551"/>
    <w:rsid w:val="47500909"/>
    <w:rsid w:val="48113790"/>
    <w:rsid w:val="4A5E2770"/>
    <w:rsid w:val="4A803D41"/>
    <w:rsid w:val="4EE753FB"/>
    <w:rsid w:val="4EEB4EDA"/>
    <w:rsid w:val="4F890433"/>
    <w:rsid w:val="50044A9D"/>
    <w:rsid w:val="504772D4"/>
    <w:rsid w:val="51824B96"/>
    <w:rsid w:val="54136DAE"/>
    <w:rsid w:val="57321F73"/>
    <w:rsid w:val="597154CE"/>
    <w:rsid w:val="5AB80354"/>
    <w:rsid w:val="5BD81EDA"/>
    <w:rsid w:val="5CEE2033"/>
    <w:rsid w:val="60673C3A"/>
    <w:rsid w:val="61531CCB"/>
    <w:rsid w:val="61D77567"/>
    <w:rsid w:val="62516020"/>
    <w:rsid w:val="63467031"/>
    <w:rsid w:val="67BF7733"/>
    <w:rsid w:val="69624529"/>
    <w:rsid w:val="6FA8317D"/>
    <w:rsid w:val="70351356"/>
    <w:rsid w:val="71F277C9"/>
    <w:rsid w:val="723D7B75"/>
    <w:rsid w:val="725B595C"/>
    <w:rsid w:val="767F00CC"/>
    <w:rsid w:val="775A5D01"/>
    <w:rsid w:val="7AEF5FC2"/>
    <w:rsid w:val="7D2E58E5"/>
    <w:rsid w:val="7D3F4EE6"/>
    <w:rsid w:val="B1FE2FD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iPriority="99" w:semiHidden="0"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iPriority="9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10">
    <w:name w:val="Default Paragraph Font"/>
    <w:semiHidden/>
    <w:unhideWhenUsed/>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8"/>
    <w:unhideWhenUsed/>
    <w:qFormat/>
    <w:uiPriority w:val="99"/>
    <w:pPr>
      <w:jc w:val="left"/>
    </w:pPr>
  </w:style>
  <w:style w:type="paragraph" w:styleId="3">
    <w:name w:val="Balloon Text"/>
    <w:basedOn w:val="1"/>
    <w:link w:val="16"/>
    <w:unhideWhenUsed/>
    <w:qFormat/>
    <w:uiPriority w:val="99"/>
    <w:rPr>
      <w:sz w:val="18"/>
      <w:szCs w:val="18"/>
    </w:rPr>
  </w:style>
  <w:style w:type="paragraph" w:styleId="4">
    <w:name w:val="footer"/>
    <w:basedOn w:val="1"/>
    <w:link w:val="21"/>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9"/>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HTML Preformatted"/>
    <w:basedOn w:val="1"/>
    <w:link w:val="20"/>
    <w:unhideWhenUsed/>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szCs w:val="24"/>
    </w:rPr>
  </w:style>
  <w:style w:type="paragraph" w:styleId="7">
    <w:name w:val="Normal (Web)"/>
    <w:basedOn w:val="1"/>
    <w:unhideWhenUsed/>
    <w:qFormat/>
    <w:uiPriority w:val="99"/>
    <w:rPr>
      <w:sz w:val="24"/>
    </w:rPr>
  </w:style>
  <w:style w:type="paragraph" w:styleId="8">
    <w:name w:val="annotation subject"/>
    <w:basedOn w:val="2"/>
    <w:next w:val="2"/>
    <w:link w:val="17"/>
    <w:unhideWhenUsed/>
    <w:qFormat/>
    <w:uiPriority w:val="99"/>
    <w:rPr>
      <w:b/>
      <w:bCs/>
    </w:rPr>
  </w:style>
  <w:style w:type="character" w:styleId="11">
    <w:name w:val="annotation reference"/>
    <w:unhideWhenUsed/>
    <w:qFormat/>
    <w:uiPriority w:val="99"/>
    <w:rPr>
      <w:sz w:val="21"/>
      <w:szCs w:val="21"/>
    </w:rPr>
  </w:style>
  <w:style w:type="paragraph" w:styleId="12">
    <w:name w:val="List Paragraph"/>
    <w:basedOn w:val="1"/>
    <w:qFormat/>
    <w:uiPriority w:val="34"/>
    <w:pPr>
      <w:widowControl/>
      <w:ind w:firstLine="420"/>
    </w:pPr>
    <w:rPr>
      <w:rFonts w:ascii="Calibri" w:hAnsi="Calibri" w:cs="宋体"/>
      <w:kern w:val="0"/>
      <w:szCs w:val="21"/>
    </w:rPr>
  </w:style>
  <w:style w:type="paragraph" w:customStyle="1" w:styleId="13">
    <w:name w:val="_Style 12"/>
    <w:unhideWhenUsed/>
    <w:qFormat/>
    <w:uiPriority w:val="99"/>
    <w:rPr>
      <w:rFonts w:ascii="Times New Roman" w:hAnsi="Times New Roman" w:eastAsia="宋体" w:cs="Times New Roman"/>
      <w:kern w:val="2"/>
      <w:sz w:val="21"/>
      <w:lang w:val="en-US" w:eastAsia="zh-CN" w:bidi="ar-SA"/>
    </w:rPr>
  </w:style>
  <w:style w:type="paragraph" w:customStyle="1" w:styleId="14">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15">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character" w:customStyle="1" w:styleId="16">
    <w:name w:val="批注框文本 字符"/>
    <w:link w:val="3"/>
    <w:semiHidden/>
    <w:qFormat/>
    <w:uiPriority w:val="99"/>
    <w:rPr>
      <w:rFonts w:ascii="Times New Roman" w:hAnsi="Times New Roman"/>
      <w:kern w:val="2"/>
      <w:sz w:val="18"/>
      <w:szCs w:val="18"/>
    </w:rPr>
  </w:style>
  <w:style w:type="character" w:customStyle="1" w:styleId="17">
    <w:name w:val="批注主题 字符"/>
    <w:link w:val="8"/>
    <w:semiHidden/>
    <w:qFormat/>
    <w:uiPriority w:val="99"/>
    <w:rPr>
      <w:rFonts w:ascii="Times New Roman" w:hAnsi="Times New Roman"/>
      <w:b/>
      <w:bCs/>
      <w:kern w:val="2"/>
      <w:sz w:val="21"/>
    </w:rPr>
  </w:style>
  <w:style w:type="character" w:customStyle="1" w:styleId="18">
    <w:name w:val="批注文字 字符"/>
    <w:link w:val="2"/>
    <w:semiHidden/>
    <w:qFormat/>
    <w:uiPriority w:val="99"/>
    <w:rPr>
      <w:rFonts w:ascii="Times New Roman" w:hAnsi="Times New Roman"/>
      <w:kern w:val="2"/>
      <w:sz w:val="21"/>
    </w:rPr>
  </w:style>
  <w:style w:type="character" w:customStyle="1" w:styleId="19">
    <w:name w:val="页眉 字符"/>
    <w:link w:val="5"/>
    <w:semiHidden/>
    <w:qFormat/>
    <w:uiPriority w:val="99"/>
    <w:rPr>
      <w:sz w:val="18"/>
      <w:szCs w:val="18"/>
    </w:rPr>
  </w:style>
  <w:style w:type="character" w:customStyle="1" w:styleId="20">
    <w:name w:val="HTML 预设格式 字符"/>
    <w:link w:val="6"/>
    <w:semiHidden/>
    <w:qFormat/>
    <w:uiPriority w:val="99"/>
    <w:rPr>
      <w:rFonts w:ascii="宋体" w:hAnsi="宋体" w:cs="宋体"/>
      <w:sz w:val="24"/>
      <w:szCs w:val="24"/>
    </w:rPr>
  </w:style>
  <w:style w:type="character" w:customStyle="1" w:styleId="21">
    <w:name w:val="页脚 字符"/>
    <w:link w:val="4"/>
    <w:qFormat/>
    <w:uiPriority w:val="99"/>
    <w:rPr>
      <w:sz w:val="18"/>
      <w:szCs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Pages>
  <Words>2779</Words>
  <Characters>15846</Characters>
  <Lines>132</Lines>
  <Paragraphs>37</Paragraphs>
  <TotalTime>33</TotalTime>
  <ScaleCrop>false</ScaleCrop>
  <LinksUpToDate>false</LinksUpToDate>
  <CharactersWithSpaces>18588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2022-01-07T16:50:00Z</dcterms:created>
  <dc:creator>陈浩01</dc:creator>
  <cp:lastModifiedBy>admin</cp:lastModifiedBy>
  <cp:lastPrinted>2022-01-07T15:48:00Z</cp:lastPrinted>
  <dcterms:modified xsi:type="dcterms:W3CDTF">2024-03-21T02:54:24Z</dcterms:modified>
  <dc:title>温州银行“金鹿理财-温盈”1号银行理财计划风险揭示书</dc:title>
  <cp:revision>20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E3F1EB67EA774718B453AA5B9B33BAA8</vt:lpwstr>
  </property>
</Properties>
</file>