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w:t>
      </w:r>
      <w:r>
        <w:rPr>
          <w:rFonts w:hint="eastAsia" w:ascii="黑体" w:eastAsia="黑体"/>
          <w:color w:val="000000"/>
          <w:sz w:val="30"/>
          <w:szCs w:val="30"/>
          <w:u w:val="single"/>
          <w:lang w:val="en-US" w:eastAsia="zh-CN"/>
        </w:rPr>
        <w:t>13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w:t>
      </w:r>
      <w:r>
        <w:rPr>
          <w:rFonts w:hint="eastAsia"/>
          <w:color w:val="000000"/>
          <w:szCs w:val="21"/>
          <w:u w:val="single"/>
          <w:lang w:val="en-US" w:eastAsia="zh-CN"/>
        </w:rPr>
        <w:t>13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颐养”21013号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颐养”21013号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颐养”21013号</w:t>
      </w:r>
      <w:r>
        <w:rPr>
          <w:rFonts w:hint="eastAsia" w:ascii="宋体" w:hAnsi="宋体"/>
          <w:szCs w:val="21"/>
        </w:rPr>
        <w:t>开放式净值型银行理财计划产品说明书》、《温州银行“金鹿理财-普惠</w:t>
      </w:r>
      <w:r>
        <w:rPr>
          <w:rFonts w:hint="eastAsia" w:ascii="宋体" w:hAnsi="宋体"/>
          <w:szCs w:val="21"/>
          <w:lang w:eastAsia="zh-CN"/>
        </w:rPr>
        <w:t>颐养”21013号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w:t>
      </w:r>
      <w:r>
        <w:rPr>
          <w:rFonts w:hint="eastAsia" w:ascii="黑体" w:eastAsia="黑体"/>
          <w:color w:val="000000"/>
          <w:sz w:val="30"/>
          <w:szCs w:val="30"/>
          <w:u w:val="single"/>
          <w:lang w:val="en-US" w:eastAsia="zh-CN"/>
        </w:rPr>
        <w:t>13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颐养”21013号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w:t>
            </w:r>
            <w:r>
              <w:rPr>
                <w:rFonts w:hint="eastAsia"/>
                <w:color w:val="000000"/>
                <w:sz w:val="18"/>
                <w:szCs w:val="18"/>
                <w:u w:val="single"/>
                <w:lang w:val="en-US" w:eastAsia="zh-CN"/>
              </w:rPr>
              <w:t>13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PY21</w:t>
            </w:r>
            <w:r>
              <w:rPr>
                <w:rFonts w:hint="eastAsia"/>
                <w:color w:val="000000"/>
                <w:sz w:val="18"/>
                <w:szCs w:val="18"/>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color w:val="000000"/>
                <w:sz w:val="18"/>
                <w:szCs w:val="18"/>
              </w:rPr>
              <w:t>C10922210000</w:t>
            </w:r>
            <w:r>
              <w:rPr>
                <w:rFonts w:hint="eastAsia" w:hAnsi="Calibri"/>
                <w:color w:val="000000"/>
                <w:sz w:val="18"/>
                <w:szCs w:val="18"/>
                <w:lang w:val="en-US" w:eastAsia="zh-CN"/>
              </w:rPr>
              <w:t>39</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w:t>
            </w:r>
            <w:r>
              <w:rPr>
                <w:rFonts w:hint="eastAsia"/>
                <w:color w:val="000000"/>
                <w:sz w:val="18"/>
                <w:szCs w:val="18"/>
                <w:u w:val="single"/>
                <w:lang w:val="en-US" w:eastAsia="zh-CN"/>
              </w:rPr>
              <w:t>3</w:t>
            </w:r>
            <w:r>
              <w:rPr>
                <w:rFonts w:hint="eastAsia"/>
                <w:color w:val="000000"/>
                <w:sz w:val="18"/>
                <w:szCs w:val="18"/>
                <w:u w:val="single"/>
              </w:rPr>
              <w:t>月</w:t>
            </w:r>
            <w:r>
              <w:rPr>
                <w:rFonts w:hint="eastAsia"/>
                <w:color w:val="000000"/>
                <w:sz w:val="18"/>
                <w:szCs w:val="18"/>
                <w:u w:val="single"/>
                <w:lang w:val="en-US" w:eastAsia="zh-CN"/>
              </w:rPr>
              <w:t>31</w:t>
            </w:r>
            <w:r>
              <w:rPr>
                <w:rFonts w:hint="eastAsia"/>
                <w:color w:val="000000"/>
                <w:sz w:val="18"/>
                <w:szCs w:val="18"/>
                <w:u w:val="single"/>
              </w:rPr>
              <w:t>日至2021年</w:t>
            </w:r>
            <w:r>
              <w:rPr>
                <w:rFonts w:hint="eastAsia"/>
                <w:color w:val="000000"/>
                <w:sz w:val="18"/>
                <w:szCs w:val="18"/>
                <w:u w:val="single"/>
                <w:lang w:val="en-US" w:eastAsia="zh-CN"/>
              </w:rPr>
              <w:t>4</w:t>
            </w:r>
            <w:r>
              <w:rPr>
                <w:rFonts w:hint="eastAsia"/>
                <w:color w:val="000000"/>
                <w:sz w:val="18"/>
                <w:szCs w:val="18"/>
                <w:u w:val="single"/>
              </w:rPr>
              <w:t>月</w:t>
            </w:r>
            <w:r>
              <w:rPr>
                <w:rFonts w:hint="eastAsia"/>
                <w:color w:val="000000"/>
                <w:sz w:val="18"/>
                <w:szCs w:val="18"/>
                <w:u w:val="single"/>
                <w:lang w:val="en-US" w:eastAsia="zh-CN"/>
              </w:rPr>
              <w:t>6</w:t>
            </w:r>
            <w:r>
              <w:rPr>
                <w:rFonts w:hint="eastAsia"/>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8</w:t>
            </w:r>
            <w:r>
              <w:rPr>
                <w:rFonts w:hint="eastAsia" w:cs="Times New Roman"/>
                <w:color w:val="000000"/>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w:t>
            </w:r>
            <w:r>
              <w:rPr>
                <w:rFonts w:hint="eastAsia"/>
                <w:color w:val="000000"/>
                <w:sz w:val="18"/>
                <w:szCs w:val="18"/>
                <w:lang w:val="en-US" w:eastAsia="zh-CN"/>
              </w:rPr>
              <w:t>4</w:t>
            </w:r>
            <w:r>
              <w:rPr>
                <w:rFonts w:hint="eastAsia"/>
                <w:color w:val="000000"/>
                <w:sz w:val="18"/>
                <w:szCs w:val="18"/>
              </w:rPr>
              <w:t>月</w:t>
            </w:r>
            <w:r>
              <w:rPr>
                <w:rFonts w:hint="eastAsia"/>
                <w:color w:val="000000"/>
                <w:sz w:val="18"/>
                <w:szCs w:val="18"/>
                <w:lang w:val="en-US" w:eastAsia="zh-CN"/>
              </w:rPr>
              <w:t>7</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w:t>
            </w:r>
            <w:r>
              <w:rPr>
                <w:rFonts w:hint="eastAsia"/>
                <w:sz w:val="18"/>
                <w:szCs w:val="18"/>
              </w:rPr>
              <w:t>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颐养”21013号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颐养”21013号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颐养”21013号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w:t>
      </w:r>
      <w:r>
        <w:rPr>
          <w:rFonts w:hint="eastAsia"/>
          <w:color w:val="000000"/>
          <w:sz w:val="18"/>
          <w:szCs w:val="18"/>
          <w:lang w:val="en-US" w:eastAsia="zh-CN"/>
        </w:rPr>
        <w:t>4</w:t>
      </w:r>
      <w:r>
        <w:rPr>
          <w:rFonts w:hint="eastAsia"/>
          <w:color w:val="000000"/>
          <w:sz w:val="18"/>
          <w:szCs w:val="18"/>
        </w:rPr>
        <w:t>月</w:t>
      </w:r>
      <w:r>
        <w:rPr>
          <w:rFonts w:hint="eastAsia"/>
          <w:color w:val="000000"/>
          <w:sz w:val="18"/>
          <w:szCs w:val="18"/>
          <w:lang w:val="en-US" w:eastAsia="zh-CN"/>
        </w:rPr>
        <w:t>7</w:t>
      </w:r>
      <w:r>
        <w:rPr>
          <w:rFonts w:hint="eastAsia"/>
          <w:color w:val="000000"/>
          <w:sz w:val="18"/>
          <w:szCs w:val="18"/>
        </w:rPr>
        <w:t>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w:t>
      </w:r>
      <w:r>
        <w:rPr>
          <w:rFonts w:hint="eastAsia"/>
          <w:bCs/>
          <w:color w:val="000000"/>
          <w:sz w:val="18"/>
          <w:szCs w:val="18"/>
          <w:lang w:val="en-US" w:eastAsia="zh-CN"/>
        </w:rPr>
        <w:t>4</w:t>
      </w:r>
      <w:r>
        <w:rPr>
          <w:rFonts w:hint="eastAsia"/>
          <w:bCs/>
          <w:color w:val="000000"/>
          <w:sz w:val="18"/>
          <w:szCs w:val="18"/>
        </w:rPr>
        <w:t>月</w:t>
      </w:r>
      <w:r>
        <w:rPr>
          <w:rFonts w:hint="eastAsia"/>
          <w:bCs/>
          <w:color w:val="000000"/>
          <w:sz w:val="18"/>
          <w:szCs w:val="18"/>
          <w:lang w:val="en-US" w:eastAsia="zh-CN"/>
        </w:rPr>
        <w:t>7</w:t>
      </w:r>
      <w:r>
        <w:rPr>
          <w:rFonts w:hint="eastAsia"/>
          <w:bCs/>
          <w:color w:val="000000"/>
          <w:sz w:val="18"/>
          <w:szCs w:val="18"/>
        </w:rPr>
        <w:t>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颐养”21013号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4.8% ，该投资运作周期单位累计分红净额0.097。投资运作周期到期清算时，扣除托管费、固定管理费后及其他费用（不含浮动管理费），如产品累计净值为1.1455，此时， (1.1455/1.00-1)×365/1092= 4.86%&gt; 4.8%，即投资收益率超越业绩比较基准，则投资管理人对超过业绩比较基准部分收益收取浮动管理费，浮动管理费为： 100,000.00×[1.1455-1.00×(1+ 4.8%×1092/365)]×50%=94.73（元）。扣除浮动管理费后，客户</w:t>
      </w:r>
      <w:r>
        <w:rPr>
          <w:rFonts w:hint="eastAsia" w:ascii="宋体" w:hAnsi="宋体"/>
          <w:sz w:val="18"/>
        </w:rPr>
        <w:t>剩余</w:t>
      </w:r>
      <w:r>
        <w:rPr>
          <w:rFonts w:ascii="宋体" w:hAnsi="宋体"/>
          <w:sz w:val="18"/>
        </w:rPr>
        <w:t>理财</w:t>
      </w:r>
      <w:r>
        <w:rPr>
          <w:rFonts w:hint="eastAsia"/>
          <w:sz w:val="18"/>
          <w:szCs w:val="18"/>
        </w:rPr>
        <w:t>收益为：100,000.00×（1.1455-1.00-0.097）-94.73=4755.27（元），产品投资运作周期到期时，客户本周期获得的实际收益相当于达到年化收益率水平为：（4755.27+100,000.00×0.097）/100,000.00×365/1092=4.83%。</w:t>
      </w:r>
    </w:p>
    <w:p>
      <w:pPr>
        <w:adjustRightInd w:val="0"/>
        <w:snapToGrid w:val="0"/>
        <w:spacing w:line="286" w:lineRule="auto"/>
        <w:rPr>
          <w:rFonts w:hint="eastAsia"/>
          <w:sz w:val="18"/>
          <w:szCs w:val="18"/>
        </w:rPr>
      </w:pPr>
      <w:r>
        <w:rPr>
          <w:rFonts w:hint="eastAsia"/>
          <w:sz w:val="18"/>
          <w:szCs w:val="18"/>
        </w:rPr>
        <w:t>示例二：扣除托管费、固定管理费及其他费用（不含</w:t>
      </w:r>
      <w:bookmarkStart w:id="0" w:name="_GoBack"/>
      <w:bookmarkEnd w:id="0"/>
      <w:r>
        <w:rPr>
          <w:rFonts w:hint="eastAsia"/>
          <w:sz w:val="18"/>
          <w:szCs w:val="18"/>
        </w:rPr>
        <w:t>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4.8% ，该投资运作周期单位累计分红净额0.091。投资运作周期到期清算时，扣除托管费、固定管理费及其他费用（不含浮动管理费）后，如产品净值为1.1395，此时，(1.1395/1.00-1)×365/1092=4.66%&lt;4.8%，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收益为：100,000.00×(1.1395-1.00-0.091）=4,850.00（元）。产品投资运作周期到期时，客户本周期获得的实际收益相当于达到年化收益率水平为：（4850+100,000.00×0.091）/100,000.00×365/1092=4.66%。</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理财期限为1092天。假设产品业绩比较基准为4.8%，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颐养”21013号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颐养”21013号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5D32FFC"/>
    <w:rsid w:val="173C03E3"/>
    <w:rsid w:val="179F7C08"/>
    <w:rsid w:val="1BCF3259"/>
    <w:rsid w:val="1DAF1517"/>
    <w:rsid w:val="1ECC4F08"/>
    <w:rsid w:val="1FDC6C5E"/>
    <w:rsid w:val="22176CC3"/>
    <w:rsid w:val="23885D04"/>
    <w:rsid w:val="24AF1E79"/>
    <w:rsid w:val="26481B0D"/>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06D6788"/>
    <w:rsid w:val="731C3643"/>
    <w:rsid w:val="7354733A"/>
    <w:rsid w:val="75FE40B4"/>
    <w:rsid w:val="769C0D96"/>
    <w:rsid w:val="77AB7FA4"/>
    <w:rsid w:val="79A903BE"/>
    <w:rsid w:val="7A8D5E63"/>
    <w:rsid w:val="7BD656B6"/>
    <w:rsid w:val="7C002445"/>
    <w:rsid w:val="7C1A5C70"/>
    <w:rsid w:val="7E2730F6"/>
    <w:rsid w:val="7EF472EA"/>
    <w:rsid w:val="7FEE272B"/>
    <w:rsid w:val="B4DDE0FF"/>
    <w:rsid w:val="BAECF763"/>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2978</Words>
  <Characters>16975</Characters>
  <Lines>141</Lines>
  <Paragraphs>39</Paragraphs>
  <TotalTime>1</TotalTime>
  <ScaleCrop>false</ScaleCrop>
  <LinksUpToDate>false</LinksUpToDate>
  <CharactersWithSpaces>19914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2022-03-03T18:57:00Z</dcterms:created>
  <dc:creator>潘伟蕾</dc:creator>
  <cp:lastModifiedBy>admin</cp:lastModifiedBy>
  <cp:lastPrinted>2012-11-29T18:11:00Z</cp:lastPrinted>
  <dcterms:modified xsi:type="dcterms:W3CDTF">2024-03-21T03:22:45Z</dcterms:modified>
  <dc:title>附件1：</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