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22018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22018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w:t>
      </w:r>
      <w:r>
        <w:rPr>
          <w:rFonts w:hint="eastAsia"/>
          <w:szCs w:val="21"/>
          <w:lang w:eastAsia="zh-CN"/>
        </w:rPr>
        <w:t>普惠颐养”22018号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普惠颐养”22018号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普惠颐养”22018号</w:t>
      </w:r>
      <w:r>
        <w:rPr>
          <w:rFonts w:hint="eastAsia" w:ascii="宋体" w:hAnsi="宋体"/>
          <w:szCs w:val="21"/>
        </w:rPr>
        <w:t>开放式净值型银行理财计划产品说明书》、《温州银行“金鹿理财-</w:t>
      </w:r>
      <w:r>
        <w:rPr>
          <w:rFonts w:hint="eastAsia" w:ascii="宋体" w:hAnsi="宋体"/>
          <w:szCs w:val="21"/>
          <w:lang w:eastAsia="zh-CN"/>
        </w:rPr>
        <w:t>普惠颐养”22018号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22018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普惠颐养”22018号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22018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lang w:val="en-US" w:eastAsia="zh-CN"/>
              </w:rPr>
              <w:t>PY2218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hAnsi="Calibri"/>
                <w:color w:val="FF0000"/>
                <w:sz w:val="18"/>
                <w:szCs w:val="18"/>
                <w:highlight w:val="none"/>
                <w:lang w:val="en-US" w:eastAsia="zh-CN"/>
              </w:rPr>
            </w:pPr>
            <w:r>
              <w:rPr>
                <w:rFonts w:hint="eastAsia" w:hAnsi="Calibri"/>
                <w:color w:val="000000"/>
                <w:sz w:val="18"/>
                <w:szCs w:val="18"/>
                <w:highlight w:val="none"/>
                <w:lang w:val="en-US" w:eastAsia="zh-CN"/>
              </w:rPr>
              <w:t>C1092222000017</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highlight w:val="none"/>
                <w:u w:val="single"/>
                <w:lang w:val="en-US" w:eastAsia="zh-CN"/>
              </w:rPr>
              <w:t>2022年5月5日</w:t>
            </w:r>
            <w:r>
              <w:rPr>
                <w:rFonts w:hint="eastAsia"/>
                <w:sz w:val="18"/>
                <w:szCs w:val="18"/>
                <w:highlight w:val="none"/>
                <w:u w:val="single"/>
              </w:rPr>
              <w:t>至</w:t>
            </w:r>
            <w:r>
              <w:rPr>
                <w:rFonts w:hint="eastAsia"/>
                <w:color w:val="000000"/>
                <w:sz w:val="18"/>
                <w:szCs w:val="18"/>
                <w:highlight w:val="none"/>
                <w:u w:val="single"/>
                <w:lang w:val="en-US" w:eastAsia="zh-CN"/>
              </w:rPr>
              <w:t>2022年5月10日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sz w:val="18"/>
                <w:szCs w:val="18"/>
                <w:highlight w:val="none"/>
              </w:rPr>
              <w:t>4.</w:t>
            </w:r>
            <w:r>
              <w:rPr>
                <w:rFonts w:hint="eastAsia" w:cs="Times New Roman"/>
                <w:sz w:val="18"/>
                <w:szCs w:val="18"/>
                <w:highlight w:val="none"/>
                <w:lang w:val="en-US" w:eastAsia="zh-CN"/>
              </w:rPr>
              <w:t>4</w:t>
            </w:r>
            <w:r>
              <w:rPr>
                <w:rFonts w:hint="eastAsia" w:cs="Times New Roman"/>
                <w:sz w:val="18"/>
                <w:szCs w:val="18"/>
                <w:highlight w:val="none"/>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w:t>
            </w:r>
            <w:r>
              <w:rPr>
                <w:rFonts w:hint="eastAsia"/>
                <w:color w:val="000000"/>
                <w:sz w:val="18"/>
                <w:szCs w:val="18"/>
                <w:highlight w:val="none"/>
                <w:lang w:val="en-US" w:eastAsia="zh-CN"/>
              </w:rPr>
              <w:t>2022年5月11日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普惠颐养”22018号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w:t>
            </w:r>
            <w:r>
              <w:rPr>
                <w:rFonts w:hint="eastAsia" w:ascii="宋体" w:hAnsi="宋体"/>
                <w:sz w:val="18"/>
                <w:lang w:eastAsia="zh-CN"/>
              </w:rPr>
              <w:t>普惠颐养”22018号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普惠颐养”22018号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highlight w:val="none"/>
          <w:lang w:val="en-US" w:eastAsia="zh-CN"/>
        </w:rPr>
        <w:t>2022年5月11日</w:t>
      </w:r>
      <w:r>
        <w:rPr>
          <w:rFonts w:hint="eastAsia"/>
          <w:sz w:val="18"/>
          <w:szCs w:val="18"/>
        </w:rPr>
        <w:t>，从成立日起，每</w:t>
      </w:r>
      <w:r>
        <w:rPr>
          <w:rFonts w:hint="eastAsia" w:ascii="宋体" w:hAnsi="宋体"/>
          <w:sz w:val="18"/>
          <w:lang w:eastAsia="zh-CN"/>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本产品预计到期终止日为2034年5月11日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w:t>
      </w:r>
      <w:r>
        <w:rPr>
          <w:rFonts w:hint="eastAsia" w:ascii="宋体" w:hAnsi="宋体"/>
          <w:sz w:val="18"/>
          <w:lang w:eastAsia="zh-CN"/>
        </w:rPr>
        <w:t>普惠颐养”22018号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示例一：扣除托管费、固定管理费及其他费用（不含浮动管理费）后，投资收益率超越业绩比较基准。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以某客户投资10万元为例，购买时产品净值为1.00元，折算份额为100,000.00份,该投资运作周期的理财期限为730天。假设该投资运作周期的产品业绩比较基准为 4.4% ，该投资运作周期单位累计分红净额0.044。投资运作周期到期清算时，扣除托管费、固定管理费后及其他费用（不含浮动管理费），如产品累计净值为1.09，此时，(1.09/1.00-1)×365/730= 4.5%&gt; 4.4%，即投资收益率超越业绩比较基准，则投资管理人对超过业绩比较基准部分收益收取浮动管理费，浮动管理费为：100,000.00×[1.09-1.00×(1+ 4.4%×730/365)]×50%=100（元）。扣除浮动管理费后，客户剩余理财收益为：100,000.00×（1.09-1.00-0.044）-100=4500（元），产品投资运作周期到期时，客户本周期获得的实际收益相当于达到年化收益率水平为：（4500+100,000.00×0.044）/100,000.00×365/730=4.45%。</w:t>
      </w:r>
    </w:p>
    <w:p>
      <w:pPr>
        <w:adjustRightInd w:val="0"/>
        <w:snapToGrid w:val="0"/>
        <w:spacing w:line="286" w:lineRule="auto"/>
        <w:rPr>
          <w:rFonts w:hint="eastAsia"/>
          <w:sz w:val="18"/>
          <w:szCs w:val="18"/>
          <w:highlight w:val="none"/>
        </w:rPr>
      </w:pPr>
      <w:r>
        <w:rPr>
          <w:rFonts w:hint="eastAsia"/>
          <w:sz w:val="18"/>
          <w:szCs w:val="18"/>
          <w:highlight w:val="none"/>
        </w:rPr>
        <w:t>示例二：扣除托管费、固定管理费及其他费用（不含浮动管理费）后，投资收益率未达到业绩比较基准。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以某客户投资10万元为例，购买时产品净值为1.00元，折算份额为100,000.00份, 该投资运作周期的理财期限为730天。假设该投资运作周期的业绩比较基准为 4.4%，该投资运作周期单位累计分红净额0.04。投资运作周期到期清算时，扣除托管费、固定管理费及其他费用（不含浮动管理费）后，如产品累计净值为1.08，此时，(1.08/1.00-1)×365/730=4%&lt;4.4%，即投资收益率未达到业绩比较基准，则投资管理人不收取浮动管理费，客户剩余理财收益为：100,000.00×(1.08-1.00-0.04）=4000.00（元）。产品投资运作周期到期时，客户本周期获得的实际收益相当于达到年化收益率水平为：（4000+100,000.00×0.04）/100,000.00×365/730=4%。</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示例三：最不利情况，扣除托管费、固定管理费及其他费用（不含浮动管理费）后，投资发生亏损。</w:t>
      </w:r>
    </w:p>
    <w:p>
      <w:pPr>
        <w:adjustRightInd w:val="0"/>
        <w:snapToGrid w:val="0"/>
        <w:spacing w:line="286" w:lineRule="auto"/>
        <w:rPr>
          <w:sz w:val="18"/>
          <w:szCs w:val="18"/>
          <w:highlight w:val="none"/>
        </w:rPr>
      </w:pPr>
      <w:r>
        <w:rPr>
          <w:rFonts w:hint="eastAsia"/>
          <w:sz w:val="18"/>
          <w:szCs w:val="18"/>
          <w:highlight w:val="none"/>
        </w:rPr>
        <w:t>以某客户投资10万元为例，购买时产品净值为1.00元，折算份额为100,000.00份，理财期限为730天。假设产品业绩比较基准为4.4%，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bookmarkStart w:id="0" w:name="_GoBack"/>
      <w:bookmarkEnd w:id="0"/>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普惠颐养”22018号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普惠颐养”22018号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773442E"/>
    <w:rsid w:val="0A860334"/>
    <w:rsid w:val="0B2E1408"/>
    <w:rsid w:val="0E4224D6"/>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9A546EF"/>
    <w:rsid w:val="5AB91E88"/>
    <w:rsid w:val="5CD210D9"/>
    <w:rsid w:val="5D7D987C"/>
    <w:rsid w:val="625426F3"/>
    <w:rsid w:val="64102A57"/>
    <w:rsid w:val="64DB6186"/>
    <w:rsid w:val="65DC2C48"/>
    <w:rsid w:val="68696415"/>
    <w:rsid w:val="686B32F0"/>
    <w:rsid w:val="6B354DB5"/>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2024-04-26T02:48:34Z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