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sz w:val="30"/>
          <w:szCs w:val="30"/>
          <w:u w:val="single"/>
        </w:rPr>
        <w:t>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普惠盈周”</w:t>
      </w:r>
      <w:r>
        <w:rPr>
          <w:rFonts w:hint="eastAsia"/>
          <w:szCs w:val="21"/>
          <w:u w:val="single"/>
        </w:rPr>
        <w:t>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盈周”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盈周”1号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本人经温州银行评估的风险承受能力等级为（仅个人客户填写）：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ascii="宋体" w:hAnsi="宋体"/>
          <w:szCs w:val="21"/>
        </w:rPr>
      </w:pPr>
      <w:r>
        <w:rPr>
          <w:rFonts w:hint="eastAsia" w:ascii="宋体" w:hAnsi="宋体"/>
          <w:szCs w:val="21"/>
        </w:rPr>
        <w:t>个人投资者（签字）：</w:t>
      </w:r>
    </w:p>
    <w:p>
      <w:pPr>
        <w:adjustRightInd w:val="0"/>
        <w:snapToGrid w:val="0"/>
        <w:spacing w:line="312" w:lineRule="auto"/>
        <w:jc w:val="left"/>
        <w:rPr>
          <w:rFonts w:ascii="宋体" w:hAnsi="宋体"/>
          <w:szCs w:val="21"/>
        </w:rPr>
      </w:pPr>
      <w:r>
        <w:rPr>
          <w:rFonts w:hint="eastAsia" w:ascii="宋体" w:hAnsi="宋体"/>
          <w:szCs w:val="21"/>
        </w:rPr>
        <w:t>机构投资者（盖章）：</w:t>
      </w:r>
    </w:p>
    <w:p>
      <w:pPr>
        <w:adjustRightInd w:val="0"/>
        <w:snapToGrid w:val="0"/>
        <w:spacing w:line="312" w:lineRule="auto"/>
        <w:jc w:val="left"/>
        <w:rPr>
          <w:rFonts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sz w:val="30"/>
          <w:szCs w:val="30"/>
          <w:u w:val="single"/>
        </w:rPr>
        <w:t>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普惠盈周”1号开放式净值型银行理财计划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2"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upright="1"/>
                    </wps:wsp>
                  </a:graphicData>
                </a:graphic>
              </wp:anchor>
            </w:drawing>
          </mc:Choice>
          <mc:Fallback>
            <w:pict>
              <v:shape id="文本框 1"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SejezNkAAAAIAQAADwAAAAAAAAABACAAAAAiAAAA&#10;ZHJzL2Rvd25yZXYueG1sUEsBAhQAFAAAAAgAh07iQFv7W9vNAQAAkwMAAA4AAAAAAAAAAQAgAAAA&#10;KAEAAGRycy9lMm9Eb2MueG1sUEsFBgAAAAAGAAYAWQEAAGcFA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“金鹿理财-普惠盈周”</w:t>
            </w:r>
            <w:r>
              <w:rPr>
                <w:rFonts w:hint="eastAsia"/>
                <w:sz w:val="18"/>
                <w:szCs w:val="18"/>
                <w:u w:val="single"/>
              </w:rPr>
              <w:t>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PZ0001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C1092220000402</w:t>
            </w:r>
          </w:p>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发行规模不超过</w:t>
            </w:r>
            <w:r>
              <w:rPr>
                <w:rFonts w:hint="eastAsia"/>
                <w:sz w:val="18"/>
                <w:szCs w:val="18"/>
              </w:rPr>
              <w:t>50亿元</w:t>
            </w:r>
            <w:r>
              <w:rPr>
                <w:rFonts w:hint="eastAsia" w:cs="Times New Roman"/>
                <w:sz w:val="18"/>
                <w:szCs w:val="18"/>
              </w:rPr>
              <w:t>（温州银行有权根据产品募集和市场情况调整计划发行量。若认购期内实际募集金额超过计划发行量，则以实际募集金额为准。）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u w:val="single"/>
              </w:rPr>
            </w:pPr>
            <w:r>
              <w:rPr>
                <w:rFonts w:hint="eastAsia"/>
                <w:sz w:val="18"/>
                <w:szCs w:val="18"/>
                <w:u w:val="single"/>
              </w:rPr>
              <w:t>2020年9月21日至2020年9月27日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2020年9月28日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封闭期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2020年9月28日至2020年10月28日，封闭期内不受理申购赎回申请。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center"/>
              <w:rPr>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hint="eastAsia" w:ascii="宋体" w:hAnsi="宋体"/>
                <w:sz w:val="18"/>
              </w:rPr>
              <w:t>投资周期内，除投资周期起始日/终止日外的每一个工作日，均可提交申购/赎回申请。</w:t>
            </w:r>
          </w:p>
          <w:p>
            <w:pPr>
              <w:autoSpaceDN w:val="0"/>
              <w:rPr>
                <w:rFonts w:ascii="宋体" w:hAnsi="宋体"/>
                <w:sz w:val="24"/>
              </w:rPr>
            </w:pPr>
            <w:r>
              <w:rPr>
                <w:rFonts w:ascii="宋体" w:hAnsi="宋体"/>
                <w:sz w:val="18"/>
              </w:rPr>
              <w:t>2．本理财产品一个投资周期为【</w:t>
            </w:r>
            <w:r>
              <w:rPr>
                <w:rFonts w:hint="eastAsia" w:ascii="宋体" w:hAnsi="宋体"/>
                <w:sz w:val="18"/>
              </w:rPr>
              <w:t>7</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p>
          <w:p>
            <w:pPr>
              <w:autoSpaceDN w:val="0"/>
              <w:rPr>
                <w:rFonts w:ascii="宋体" w:hAnsi="宋体"/>
                <w:sz w:val="18"/>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w:t>
            </w:r>
            <w:r>
              <w:rPr>
                <w:rFonts w:hint="eastAsia" w:ascii="宋体" w:hAnsi="宋体"/>
                <w:sz w:val="18"/>
              </w:rPr>
              <w:t>，认购（申购）确认日为下一个投资周期起始日</w:t>
            </w:r>
            <w:r>
              <w:rPr>
                <w:rFonts w:ascii="宋体" w:hAnsi="宋体"/>
                <w:sz w:val="18"/>
              </w:rPr>
              <w:t>。本理财产品按投资周期开放赎回，</w:t>
            </w:r>
            <w:r>
              <w:rPr>
                <w:rFonts w:hint="eastAsia" w:ascii="宋体" w:hAnsi="宋体"/>
                <w:sz w:val="18"/>
              </w:rPr>
              <w:t>投资者</w:t>
            </w:r>
            <w:r>
              <w:rPr>
                <w:rFonts w:ascii="宋体" w:hAnsi="宋体"/>
                <w:sz w:val="18"/>
              </w:rPr>
              <w:t>可以在一个投资周期的预约赎回期内提出赎回申请，赎回确认</w:t>
            </w:r>
            <w:r>
              <w:rPr>
                <w:rFonts w:hint="eastAsia" w:ascii="宋体" w:hAnsi="宋体"/>
                <w:sz w:val="18"/>
              </w:rPr>
              <w:t>及清算</w:t>
            </w:r>
            <w:r>
              <w:rPr>
                <w:rFonts w:ascii="宋体" w:hAnsi="宋体"/>
                <w:sz w:val="18"/>
              </w:rPr>
              <w:t>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购买资金对应的</w:t>
            </w:r>
            <w:r>
              <w:rPr>
                <w:rFonts w:ascii="宋体" w:hAnsi="宋体"/>
                <w:sz w:val="18"/>
              </w:rPr>
              <w:t>投资周期</w:t>
            </w:r>
            <w:r>
              <w:rPr>
                <w:rFonts w:hint="eastAsia" w:ascii="宋体" w:hAnsi="宋体"/>
                <w:sz w:val="18"/>
              </w:rPr>
              <w:t>内</w:t>
            </w:r>
            <w:r>
              <w:rPr>
                <w:rFonts w:ascii="宋体" w:hAnsi="宋体"/>
                <w:sz w:val="18"/>
              </w:rPr>
              <w:t>的预期赎回期内未提出赎回申请，则该投资周期终止后，客户的理财资金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ascii="宋体" w:hAnsi="宋体"/>
                <w:sz w:val="18"/>
              </w:rPr>
            </w:pPr>
            <w:r>
              <w:rPr>
                <w:rFonts w:hint="eastAsia" w:ascii="宋体" w:hAnsi="宋体"/>
                <w:sz w:val="18"/>
              </w:rPr>
              <w:t>4.在理财产品存续期内，温州银行有权根据市场情况变化暂停本理财产品的申购、赎回，暂停申购、赎回的公告将通过温州银行网站（www.wzbank.cn）发布。</w:t>
            </w:r>
          </w:p>
          <w:p>
            <w:pPr>
              <w:autoSpaceDN w:val="0"/>
              <w:rPr>
                <w:rFonts w:ascii="宋体" w:hAnsi="宋体"/>
                <w:sz w:val="24"/>
              </w:rPr>
            </w:pPr>
            <w:r>
              <w:rPr>
                <w:rFonts w:hint="eastAsia" w:ascii="宋体" w:hAnsi="宋体"/>
                <w:sz w:val="18"/>
              </w:rPr>
              <w:t>5.产品封闭期结束后的每个周四（如遇非工作日则顺延至下一工作日）为投资周期终止日。</w:t>
            </w:r>
          </w:p>
          <w:p>
            <w:pPr>
              <w:autoSpaceDN w:val="0"/>
              <w:rPr>
                <w:sz w:val="18"/>
                <w:szCs w:val="18"/>
              </w:rPr>
            </w:pPr>
            <w:r>
              <w:rPr>
                <w:rFonts w:hint="eastAsia" w:ascii="宋体" w:hAnsi="宋体"/>
                <w:sz w:val="18"/>
              </w:rPr>
              <w:t>6</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单一投资者累计最大购买金额10000万元。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2.</w:t>
            </w:r>
            <w:r>
              <w:rPr>
                <w:rFonts w:hint="eastAsia" w:cs="Times New Roman"/>
                <w:sz w:val="18"/>
                <w:szCs w:val="18"/>
                <w:lang w:val="en-US" w:eastAsia="zh-CN"/>
              </w:rPr>
              <w:t>1</w:t>
            </w:r>
            <w:r>
              <w:rPr>
                <w:rFonts w:hint="eastAsia" w:cs="Times New Roman"/>
                <w:sz w:val="18"/>
                <w:szCs w:val="18"/>
              </w:rPr>
              <w:t>5%-2.</w:t>
            </w:r>
            <w:r>
              <w:rPr>
                <w:rFonts w:hint="eastAsia" w:cs="Times New Roman"/>
                <w:sz w:val="18"/>
                <w:szCs w:val="18"/>
                <w:lang w:val="en-US" w:eastAsia="zh-CN"/>
              </w:rPr>
              <w:t>7</w:t>
            </w:r>
            <w:bookmarkStart w:id="0" w:name="_GoBack"/>
            <w:bookmarkEnd w:id="0"/>
            <w:r>
              <w:rPr>
                <w:rFonts w:hint="eastAsia" w:cs="Times New Roman"/>
                <w:sz w:val="18"/>
                <w:szCs w:val="18"/>
              </w:rPr>
              <w:t>5%（年化）</w:t>
            </w:r>
          </w:p>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深圳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5"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9"/>
          <w:rFonts w:ascii="宋体" w:hAnsi="宋体"/>
          <w:sz w:val="18"/>
          <w:szCs w:val="18"/>
        </w:rPr>
        <w:t>www.wzbank.cn</w:t>
      </w:r>
      <w:r>
        <w:rPr>
          <w:rStyle w:val="9"/>
          <w:rFonts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w:t>
      </w:r>
      <w:r>
        <w:rPr>
          <w:rFonts w:hint="eastAsia"/>
          <w:sz w:val="18"/>
          <w:szCs w:val="18"/>
        </w:rPr>
        <w:t>本理财计划成立日为</w:t>
      </w:r>
      <w:r>
        <w:rPr>
          <w:sz w:val="18"/>
          <w:szCs w:val="18"/>
        </w:rPr>
        <w:t>20</w:t>
      </w:r>
      <w:r>
        <w:rPr>
          <w:rFonts w:hint="eastAsia"/>
          <w:sz w:val="18"/>
          <w:szCs w:val="18"/>
        </w:rPr>
        <w:t>20年9月28日。封闭期为2020年9月28日至2020年10月28日。从封闭期结束后，每</w:t>
      </w:r>
      <w:r>
        <w:rPr>
          <w:rFonts w:ascii="宋体" w:hAnsi="宋体"/>
          <w:sz w:val="18"/>
        </w:rPr>
        <w:t>【</w:t>
      </w:r>
      <w:r>
        <w:rPr>
          <w:rFonts w:hint="eastAsia" w:ascii="宋体" w:hAnsi="宋体"/>
          <w:sz w:val="18"/>
        </w:rPr>
        <w:t>7</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亿份，在开放期内投资者净赎回达到1亿份，温州银行有权拒绝确认1亿份之后的赎回申请，相应的投资者当期无法赎回理财计划份额。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highlight w:val="yellow"/>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color w:val="000000"/>
          <w:sz w:val="18"/>
        </w:rPr>
      </w:pPr>
      <w:r>
        <w:rPr>
          <w:rFonts w:hint="eastAsia"/>
          <w:sz w:val="18"/>
          <w:szCs w:val="18"/>
        </w:rPr>
        <w:t>本产品无固定到期日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理财管理人对委托资产收取的固定管理费，理财计划财产的年固定管理费率为1.0%，计算方法如下：</w:t>
      </w:r>
    </w:p>
    <w:p>
      <w:pPr>
        <w:adjustRightInd w:val="0"/>
        <w:snapToGrid w:val="0"/>
        <w:spacing w:line="286" w:lineRule="auto"/>
        <w:rPr>
          <w:sz w:val="18"/>
          <w:szCs w:val="18"/>
        </w:rPr>
      </w:pPr>
      <w:r>
        <w:rPr>
          <w:rFonts w:hint="eastAsia"/>
          <w:sz w:val="18"/>
          <w:szCs w:val="18"/>
        </w:rPr>
        <w:t>H＝E×1.0%÷365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sz w:val="18"/>
          <w:szCs w:val="18"/>
        </w:rPr>
      </w:pPr>
      <w:r>
        <w:rPr>
          <w:rFonts w:hint="eastAsia"/>
          <w:sz w:val="18"/>
          <w:szCs w:val="18"/>
        </w:rPr>
        <w:t>R为当日的业绩比较基准，若业绩比较基准存在区间范围的，则为业绩比较基准区间均值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温州银行应在收益分配日前1个工作日公告收益分配方案。</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w:t>
      </w:r>
      <w:r>
        <w:rPr>
          <w:rFonts w:ascii="宋体" w:hAnsi="宋体"/>
          <w:sz w:val="18"/>
          <w:szCs w:val="18"/>
        </w:rPr>
        <w:t>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6"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6"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6"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6"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6"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6" w:lineRule="auto"/>
        <w:rPr>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盈周”1号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680"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10</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A5D36"/>
    <w:rsid w:val="00125F16"/>
    <w:rsid w:val="00172A27"/>
    <w:rsid w:val="00172B4C"/>
    <w:rsid w:val="00194909"/>
    <w:rsid w:val="001E3E46"/>
    <w:rsid w:val="00240B17"/>
    <w:rsid w:val="00371760"/>
    <w:rsid w:val="003839BF"/>
    <w:rsid w:val="004516E7"/>
    <w:rsid w:val="004702B4"/>
    <w:rsid w:val="004B149F"/>
    <w:rsid w:val="004D632E"/>
    <w:rsid w:val="004F3D56"/>
    <w:rsid w:val="005000F9"/>
    <w:rsid w:val="00523E40"/>
    <w:rsid w:val="00551F77"/>
    <w:rsid w:val="00561460"/>
    <w:rsid w:val="00583479"/>
    <w:rsid w:val="006070F0"/>
    <w:rsid w:val="006377BD"/>
    <w:rsid w:val="00642EFA"/>
    <w:rsid w:val="006B6C20"/>
    <w:rsid w:val="006C24F6"/>
    <w:rsid w:val="006D6F48"/>
    <w:rsid w:val="00726556"/>
    <w:rsid w:val="00731946"/>
    <w:rsid w:val="00794CC8"/>
    <w:rsid w:val="007C0C99"/>
    <w:rsid w:val="008517A7"/>
    <w:rsid w:val="008B0CAA"/>
    <w:rsid w:val="009F5DDA"/>
    <w:rsid w:val="00A008FE"/>
    <w:rsid w:val="00A21B3A"/>
    <w:rsid w:val="00A74580"/>
    <w:rsid w:val="00B01CD3"/>
    <w:rsid w:val="00B0469F"/>
    <w:rsid w:val="00B873B9"/>
    <w:rsid w:val="00BF5F08"/>
    <w:rsid w:val="00C24C9B"/>
    <w:rsid w:val="00C64F27"/>
    <w:rsid w:val="00C84777"/>
    <w:rsid w:val="00C96454"/>
    <w:rsid w:val="00CC30DF"/>
    <w:rsid w:val="00CC5CBF"/>
    <w:rsid w:val="00D04D78"/>
    <w:rsid w:val="00D911CD"/>
    <w:rsid w:val="00DC7332"/>
    <w:rsid w:val="00DC7700"/>
    <w:rsid w:val="00DD1B9F"/>
    <w:rsid w:val="00E743FE"/>
    <w:rsid w:val="00E817AD"/>
    <w:rsid w:val="00E87E78"/>
    <w:rsid w:val="00F003E0"/>
    <w:rsid w:val="00F63DA3"/>
    <w:rsid w:val="01107283"/>
    <w:rsid w:val="013B04AF"/>
    <w:rsid w:val="013F1C80"/>
    <w:rsid w:val="014D4226"/>
    <w:rsid w:val="035F5B62"/>
    <w:rsid w:val="03B225C6"/>
    <w:rsid w:val="054B1243"/>
    <w:rsid w:val="056A5112"/>
    <w:rsid w:val="05BE5868"/>
    <w:rsid w:val="0831435C"/>
    <w:rsid w:val="098E3976"/>
    <w:rsid w:val="0A8B5255"/>
    <w:rsid w:val="0B626F8B"/>
    <w:rsid w:val="0BA820C6"/>
    <w:rsid w:val="0D80050B"/>
    <w:rsid w:val="0DD2713B"/>
    <w:rsid w:val="0E490064"/>
    <w:rsid w:val="0E4A4F72"/>
    <w:rsid w:val="10076259"/>
    <w:rsid w:val="109C216B"/>
    <w:rsid w:val="11C64501"/>
    <w:rsid w:val="138D0757"/>
    <w:rsid w:val="13E4398C"/>
    <w:rsid w:val="16CA708E"/>
    <w:rsid w:val="16EE7258"/>
    <w:rsid w:val="17892312"/>
    <w:rsid w:val="18797458"/>
    <w:rsid w:val="18D67783"/>
    <w:rsid w:val="1AB5506A"/>
    <w:rsid w:val="1B3E22C5"/>
    <w:rsid w:val="1CF83BFA"/>
    <w:rsid w:val="1DC92858"/>
    <w:rsid w:val="1E2622AE"/>
    <w:rsid w:val="230E3B63"/>
    <w:rsid w:val="23EC2A46"/>
    <w:rsid w:val="242A4AD2"/>
    <w:rsid w:val="24845E93"/>
    <w:rsid w:val="25C1363B"/>
    <w:rsid w:val="2AE21E1E"/>
    <w:rsid w:val="2C9367E4"/>
    <w:rsid w:val="2CF84B28"/>
    <w:rsid w:val="2CFF7EE5"/>
    <w:rsid w:val="2D8F5880"/>
    <w:rsid w:val="2E971AE3"/>
    <w:rsid w:val="304709FE"/>
    <w:rsid w:val="30873011"/>
    <w:rsid w:val="30E207C5"/>
    <w:rsid w:val="32600E2A"/>
    <w:rsid w:val="33BB0464"/>
    <w:rsid w:val="34582769"/>
    <w:rsid w:val="351A7ABC"/>
    <w:rsid w:val="35635518"/>
    <w:rsid w:val="36D42F75"/>
    <w:rsid w:val="371E667F"/>
    <w:rsid w:val="38C66936"/>
    <w:rsid w:val="3CA95CCE"/>
    <w:rsid w:val="3CD60CF3"/>
    <w:rsid w:val="3D3D61A4"/>
    <w:rsid w:val="3D6E0AAA"/>
    <w:rsid w:val="40764994"/>
    <w:rsid w:val="43710A36"/>
    <w:rsid w:val="44D7779F"/>
    <w:rsid w:val="458B5C50"/>
    <w:rsid w:val="493C1AF2"/>
    <w:rsid w:val="4B3A78C8"/>
    <w:rsid w:val="4B8D3FF0"/>
    <w:rsid w:val="4C326B56"/>
    <w:rsid w:val="4D1F2F41"/>
    <w:rsid w:val="4D9F6C37"/>
    <w:rsid w:val="4DA04DB4"/>
    <w:rsid w:val="4E3F1A3D"/>
    <w:rsid w:val="4EC917E6"/>
    <w:rsid w:val="502F0C44"/>
    <w:rsid w:val="50B31F53"/>
    <w:rsid w:val="52807E6D"/>
    <w:rsid w:val="52F50261"/>
    <w:rsid w:val="542B731D"/>
    <w:rsid w:val="575177BB"/>
    <w:rsid w:val="57BC002D"/>
    <w:rsid w:val="58957134"/>
    <w:rsid w:val="58B403AE"/>
    <w:rsid w:val="58E46088"/>
    <w:rsid w:val="59FD29AB"/>
    <w:rsid w:val="5A8D45D9"/>
    <w:rsid w:val="5C2610B6"/>
    <w:rsid w:val="5CAC60D0"/>
    <w:rsid w:val="5CF67827"/>
    <w:rsid w:val="5D2F7B31"/>
    <w:rsid w:val="5D8416F7"/>
    <w:rsid w:val="60A64BF2"/>
    <w:rsid w:val="61EB7F09"/>
    <w:rsid w:val="62373B72"/>
    <w:rsid w:val="628B4E13"/>
    <w:rsid w:val="62B023A5"/>
    <w:rsid w:val="644D2BDF"/>
    <w:rsid w:val="671110CE"/>
    <w:rsid w:val="69085C1A"/>
    <w:rsid w:val="6B5424D8"/>
    <w:rsid w:val="6BEA4E88"/>
    <w:rsid w:val="6D763CAB"/>
    <w:rsid w:val="6F9406F7"/>
    <w:rsid w:val="71AC58D0"/>
    <w:rsid w:val="721944C5"/>
    <w:rsid w:val="745B12C0"/>
    <w:rsid w:val="74C431E5"/>
    <w:rsid w:val="75646EFC"/>
    <w:rsid w:val="759A00B6"/>
    <w:rsid w:val="75EE1A0C"/>
    <w:rsid w:val="78AF2A24"/>
    <w:rsid w:val="7A7957AE"/>
    <w:rsid w:val="7AB61D86"/>
    <w:rsid w:val="7B6E3D14"/>
    <w:rsid w:val="7CB110A9"/>
    <w:rsid w:val="7E046FB3"/>
    <w:rsid w:val="7F560AEA"/>
    <w:rsid w:val="7F744F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4"/>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Hyperlink"/>
    <w:qFormat/>
    <w:uiPriority w:val="0"/>
    <w:rPr>
      <w:color w:val="0563C1"/>
      <w:u w:val="single"/>
    </w:rPr>
  </w:style>
  <w:style w:type="character" w:styleId="10">
    <w:name w:val="annotation reference"/>
    <w:unhideWhenUsed/>
    <w:qFormat/>
    <w:uiPriority w:val="99"/>
    <w:rPr>
      <w:sz w:val="21"/>
      <w:szCs w:val="21"/>
    </w:rPr>
  </w:style>
  <w:style w:type="paragraph" w:customStyle="1" w:styleId="11">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1"/>
    <w:unhideWhenUsed/>
    <w:qFormat/>
    <w:uiPriority w:val="99"/>
    <w:rPr>
      <w:rFonts w:ascii="Times New Roman" w:hAnsi="Times New Roman" w:eastAsia="宋体" w:cs="Times New Roman"/>
      <w:kern w:val="2"/>
      <w:sz w:val="21"/>
      <w:lang w:val="en-US" w:eastAsia="zh-CN" w:bidi="ar-SA"/>
    </w:rPr>
  </w:style>
  <w:style w:type="character" w:customStyle="1" w:styleId="14">
    <w:name w:val="批注框文本 字符"/>
    <w:link w:val="3"/>
    <w:qFormat/>
    <w:uiPriority w:val="0"/>
    <w:rPr>
      <w:rFonts w:ascii="Times New Roman" w:hAnsi="Times New Roman"/>
      <w:kern w:val="2"/>
      <w:sz w:val="18"/>
      <w:szCs w:val="18"/>
    </w:rPr>
  </w:style>
  <w:style w:type="character" w:customStyle="1" w:styleId="15">
    <w:name w:val="页眉 字符"/>
    <w:link w:val="5"/>
    <w:qFormat/>
    <w:uiPriority w:val="0"/>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Pages>
  <Words>2605</Words>
  <Characters>14851</Characters>
  <Lines>123</Lines>
  <Paragraphs>34</Paragraphs>
  <TotalTime>6</TotalTime>
  <ScaleCrop>false</ScaleCrop>
  <LinksUpToDate>false</LinksUpToDate>
  <CharactersWithSpaces>17422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admin</cp:lastModifiedBy>
  <dcterms:modified xsi:type="dcterms:W3CDTF">2024-05-17T06:58:23Z</dcterms:modified>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58B6E3FF18454494B2B9D0E32FE5A3C5</vt:lpwstr>
  </property>
</Properties>
</file>