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bookmarkStart w:id="0" w:name="_GoBack"/>
      <w:bookmarkEnd w:id="0"/>
      <w:r>
        <w:rPr>
          <w:rFonts w:hint="eastAsia" w:ascii="黑体" w:eastAsia="黑体"/>
          <w:sz w:val="30"/>
          <w:szCs w:val="30"/>
        </w:rPr>
        <w:t xml:space="preserve"> 温州银行“金鹿理财-普惠季享”</w:t>
      </w:r>
      <w:r>
        <w:rPr>
          <w:rFonts w:hint="eastAsia" w:ascii="黑体" w:eastAsia="黑体"/>
          <w:sz w:val="30"/>
          <w:szCs w:val="30"/>
          <w:u w:val="single"/>
          <w:lang w:val="en-US" w:eastAsia="zh-CN"/>
        </w:rPr>
        <w:t>2</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02" w:lineRule="auto"/>
        <w:rPr>
          <w:rFonts w:ascii="宋体" w:hAnsi="宋体"/>
          <w:b/>
          <w:szCs w:val="21"/>
        </w:rPr>
      </w:pPr>
      <w:r>
        <w:rPr>
          <w:rFonts w:hint="eastAsia" w:ascii="宋体" w:hAnsi="宋体"/>
          <w:b/>
          <w:szCs w:val="21"/>
        </w:rPr>
        <w:t>尊敬的客户：</w:t>
      </w:r>
    </w:p>
    <w:p>
      <w:pPr>
        <w:adjustRightInd w:val="0"/>
        <w:snapToGrid w:val="0"/>
        <w:spacing w:line="302"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，请在认购（申购）该理财产品前特别注意以下事项：</w:t>
      </w:r>
    </w:p>
    <w:p>
      <w:pPr>
        <w:adjustRightInd w:val="0"/>
        <w:snapToGrid w:val="0"/>
        <w:spacing w:line="302"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普惠季享”</w:t>
      </w:r>
      <w:r>
        <w:rPr>
          <w:rFonts w:hint="eastAsia"/>
          <w:szCs w:val="21"/>
          <w:u w:val="single"/>
          <w:lang w:val="en-US" w:eastAsia="zh-CN"/>
        </w:rPr>
        <w:t>2</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，在产品存续期内不定期开放第i期运作期理财申购及赎回兑付，每个运作期内的理财期限、理财起始日、理财到期日及业绩比较基准等要素以《温州银行</w:t>
      </w:r>
      <w:r>
        <w:rPr>
          <w:rFonts w:hint="eastAsia" w:ascii="宋体" w:hAnsi="宋体"/>
          <w:szCs w:val="21"/>
        </w:rPr>
        <w:t>“金鹿理财-普惠</w:t>
      </w:r>
      <w:r>
        <w:rPr>
          <w:rFonts w:hint="eastAsia" w:ascii="宋体" w:hAnsi="宋体"/>
          <w:szCs w:val="21"/>
          <w:lang w:eastAsia="zh-CN"/>
        </w:rPr>
        <w:t>季享”2号</w:t>
      </w:r>
      <w:r>
        <w:rPr>
          <w:rFonts w:hint="eastAsia" w:ascii="宋体" w:hAnsi="宋体"/>
          <w:szCs w:val="21"/>
        </w:rPr>
        <w:t>开放式净值</w:t>
      </w:r>
      <w:r>
        <w:rPr>
          <w:rFonts w:hint="eastAsia"/>
          <w:szCs w:val="21"/>
        </w:rPr>
        <w:t>型（第i期）银行理财计划开放认购（申购）申请书》约定为准。</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02"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02"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02" w:lineRule="auto"/>
        <w:ind w:firstLine="420"/>
        <w:rPr>
          <w:rFonts w:ascii="宋体" w:hAnsi="宋体"/>
          <w:szCs w:val="21"/>
        </w:rPr>
      </w:pPr>
      <w:r>
        <w:rPr>
          <w:rFonts w:hint="eastAsia" w:ascii="宋体" w:hAnsi="宋体"/>
          <w:szCs w:val="21"/>
        </w:rPr>
        <w:t>三、本风险揭示书及《温州银行“金鹿理财-普惠</w:t>
      </w:r>
      <w:r>
        <w:rPr>
          <w:rFonts w:hint="eastAsia" w:ascii="宋体" w:hAnsi="宋体"/>
          <w:szCs w:val="21"/>
          <w:lang w:eastAsia="zh-CN"/>
        </w:rPr>
        <w:t>季享”2号</w:t>
      </w:r>
      <w:r>
        <w:rPr>
          <w:rFonts w:hint="eastAsia" w:ascii="宋体" w:hAnsi="宋体"/>
          <w:szCs w:val="21"/>
        </w:rPr>
        <w:t>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普惠</w:t>
      </w:r>
      <w:r>
        <w:rPr>
          <w:rFonts w:hint="eastAsia" w:ascii="宋体" w:hAnsi="宋体"/>
          <w:szCs w:val="21"/>
          <w:lang w:eastAsia="zh-CN"/>
        </w:rPr>
        <w:t>季享”2号</w:t>
      </w:r>
      <w:r>
        <w:rPr>
          <w:rFonts w:hint="eastAsia" w:ascii="宋体" w:hAnsi="宋体"/>
          <w:szCs w:val="21"/>
        </w:rPr>
        <w:t>开放式净值型银行理财计划产品说明书》、《温州银行“金鹿理财-普惠</w:t>
      </w:r>
      <w:r>
        <w:rPr>
          <w:rFonts w:hint="eastAsia" w:ascii="宋体" w:hAnsi="宋体"/>
          <w:szCs w:val="21"/>
          <w:lang w:eastAsia="zh-CN"/>
        </w:rPr>
        <w:t>季享”2号</w:t>
      </w:r>
      <w:r>
        <w:rPr>
          <w:rFonts w:hint="eastAsia" w:ascii="宋体" w:hAnsi="宋体"/>
          <w:szCs w:val="21"/>
        </w:rPr>
        <w:t>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2"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2"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02"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02" w:lineRule="auto"/>
        <w:rPr>
          <w:b/>
          <w:szCs w:val="21"/>
        </w:rPr>
      </w:pPr>
      <w:r>
        <w:rPr>
          <w:rFonts w:hint="eastAsia"/>
          <w:b/>
          <w:szCs w:val="21"/>
        </w:rPr>
        <w:t>本人经温州银行评估的风险承受能力等级为（客户填写）：</w:t>
      </w:r>
    </w:p>
    <w:p>
      <w:pPr>
        <w:adjustRightInd w:val="0"/>
        <w:snapToGrid w:val="0"/>
        <w:spacing w:line="302"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02"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02" w:lineRule="auto"/>
        <w:rPr>
          <w:b/>
          <w:szCs w:val="21"/>
        </w:rPr>
      </w:pPr>
      <w:r>
        <w:rPr>
          <w:rFonts w:hint="eastAsia"/>
          <w:b/>
          <w:szCs w:val="21"/>
          <w:u w:val="single"/>
        </w:rPr>
        <w:t xml:space="preserve">                                                                                 </w:t>
      </w:r>
      <w:r>
        <w:rPr>
          <w:rFonts w:hint="eastAsia"/>
          <w:szCs w:val="21"/>
        </w:rPr>
        <w:t>。</w:t>
      </w:r>
    </w:p>
    <w:p>
      <w:pPr>
        <w:adjustRightInd w:val="0"/>
        <w:snapToGrid w:val="0"/>
        <w:spacing w:line="302"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02"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温州银行“金鹿理财-普惠季享”</w:t>
      </w:r>
      <w:r>
        <w:rPr>
          <w:rFonts w:hint="eastAsia" w:ascii="黑体" w:eastAsia="黑体"/>
          <w:sz w:val="30"/>
          <w:szCs w:val="30"/>
          <w:u w:val="single"/>
          <w:lang w:val="en-US" w:eastAsia="zh-CN"/>
        </w:rPr>
        <w:t>2</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sz w:val="18"/>
          <w:szCs w:val="18"/>
        </w:rPr>
        <w:t>普惠</w:t>
      </w:r>
      <w:r>
        <w:rPr>
          <w:rFonts w:hint="eastAsia"/>
          <w:sz w:val="18"/>
          <w:szCs w:val="18"/>
          <w:lang w:eastAsia="zh-CN"/>
        </w:rPr>
        <w:t>季享”2号</w:t>
      </w:r>
      <w:r>
        <w:rPr>
          <w:rFonts w:hint="eastAsia"/>
          <w:sz w:val="18"/>
          <w:szCs w:val="18"/>
        </w:rPr>
        <w:t>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9"/>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SejezNkAAAAIAQAADwAAAAAAAAABACAAAAAiAAAAZHJzL2Rvd25yZXYueG1sUEsBAhQA&#10;FAAAAAgAh07iQIgfYry4AQAAhAMAAA4AAAAAAAAAAQAgAAAAKAEAAGRycy9lMm9Eb2MueG1sUEsF&#10;BgAAAAAGAAYAWQEAAFIFA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1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2" name="Picture 3"/>
                        <wps:cNvSpPr>
                          <a:spLocks noChangeAspect="1" noTextEdit="1"/>
                        </wps:cNvSpPr>
                        <wps:spPr>
                          <a:xfrm>
                            <a:off x="0" y="0"/>
                            <a:ext cx="6188" cy="2986"/>
                          </a:xfrm>
                          <a:prstGeom prst="rect">
                            <a:avLst/>
                          </a:prstGeom>
                          <a:noFill/>
                          <a:ln>
                            <a:noFill/>
                          </a:ln>
                        </wps:spPr>
                        <wps:bodyPr upright="1"/>
                      </wps:wsp>
                      <wps:wsp>
                        <wps:cNvPr id="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upright="1"/>
                      </wps:wsp>
                      <wps:wsp>
                        <wps:cNvPr id="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upright="1"/>
                      </wps:wsp>
                      <wps:wsp>
                        <wps:cNvPr id="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upright="1"/>
                      </wps:wsp>
                      <wps:wsp>
                        <wps:cNvPr id="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upright="1"/>
                      </wps:wsp>
                      <wps:wsp>
                        <wps:cNvPr id="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upright="1"/>
                      </wps:wsp>
                      <wps:wsp>
                        <wps:cNvPr id="10"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">
                <o:lock v:ext="edit" rotation="t" aspectratio="f"/>
                <v:rect id="Picture 3" o:spid="_x0000_s1026" o:spt="1" style="position:absolute;left:0;top:0;height:2986;width:6188;" filled="f" stroked="f" coordsize="21600,21600" o:gfxdata="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Dzqtzq8AAAA&#10;2gAAAA8AAAAAAAAAAQAgAAAAIgAAAGRycy9kb3ducmV2LnhtbFBLAQIUABQAAAAIAIdO4kAzLwWe&#10;OwAAADkAAAAQAAAAAAAAAAEAIAAAAAsBAABkcnMvc2hhcGV4bWwueG1sUEsFBgAAAAAGAAYAWwEA&#10;ALUDA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5tzD8r4AAADa&#10;AAAADwAAAGRycy9kb3ducmV2LnhtbEWPT2vCQBTE74V+h+UVvNVNFCSkrh4Ei+CfYixFb4/sMwnN&#10;vg27q8Zv3xWEHoeZ+Q0znfemFVdyvrGsIB0mIIhLqxuuFHwflu8ZCB+QNbaWScGdPMxnry9TzLW9&#10;8Z6uRahEhLDPUUEdQpdL6cuaDPqh7Yijd7bOYIjSVVI7vEW4aeUoSSbSYMNxocaOFjWVv8XFKNhv&#10;luvsZ33pS3f6THeHr8326DOlBm9p8gEiUB/+w8/2SisYw+NKvAFy9g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5tzD8r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R4CNdr4AAADa&#10;AAAADwAAAGRycy9kb3ducmV2LnhtbEWPQWvCQBSE7wX/w/IEb3WTYotNXT1IC55K1SL09si+JtHs&#10;23T3aay/3hUKPQ4z8w0zW5xdq04UYuPZQD7OQBGX3jZcGfjcvt1PQUVBtth6JgO/FGExH9zNsLC+&#10;5zWdNlKpBOFYoIFapCu0jmVNDuPYd8TJ+/bBoSQZKm0D9gnuWv2QZU/aYcNpocaOljWVh83RGXje&#10;9o/+Ixx2k7z5+bq87qVbvYsxo2GevYASOst/+K+9sgYmcLuSboCeXw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R4CNdr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Z1uaSr0AAADa&#10;AAAADwAAAGRycy9kb3ducmV2LnhtbEWPzW7CMBCE70h9B2sr9QY2IKo2YDi0ApVjCJfetvGSpI3X&#10;Uez8tE+PkSpxHM3MN5rNbrS16Kn1lWMN85kCQZw7U3Gh4Zztpy8gfEA2WDsmDb/kYbd9mGwwMW7g&#10;lPpTKESEsE9QQxlCk0jp85Is+plriKN3ca3FEGVbSNPiEOG2lgulnqXFiuNCiQ29lZT/nDqr4ata&#10;nPEvzQ7Kvu6X4Thm393nu9ZPj3O1BhFoDPfwf/vDaFjB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nW5pK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P0yiQbwAAADa&#10;AAAADwAAAGRycy9kb3ducmV2LnhtbEWPS4vCQBCE7wv7H4Ze8LZOFJQYM3rwhV5kjeK5yXQemOkJ&#10;mfH17x1B2GNRVV9R6fxhGnGjztWWFQz6EQji3OqaSwWn4/o3BuE8ssbGMil4koP57PsrxUTbOx/o&#10;lvlSBAi7BBVU3reJlC6vyKDr25Y4eIXtDPogu1LqDu8Bbho5jKKxNFhzWKiwpUVF+SW7GgWbU7u7&#10;ZIvnMN7/jVZZvDxPiv1Zqd7PIJqC8PTw/+FPe6sVjOF9JdwAOXsB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D9MokG8AAAA&#10;2g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MWhpr0AAADa&#10;AAAADwAAAGRycy9kb3ducmV2LnhtbEWPzW7CMBCE70h9B2sr9QY2INE2YDi0ApVjCJfetvGSpI3X&#10;Uez8tE+PkSpxHM3MN5rNbrS16Kn1lWMN85kCQZw7U3Gh4Zztpy8gfEA2WDsmDb/kYbd9mGwwMW7g&#10;lPpTKESEsE9QQxlCk0jp85Is+plriKN3ca3FEGVbSNPiEOG2lgulVtJixXGhxIbeSsp/Tp3V8FUt&#10;zviXZgdlX/fLcByz7+7zXeunx7lagwg0hnv4v/1hNDzD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4xaGm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iVo11LkAAADa&#10;AAAADwAAAGRycy9kb3ducmV2LnhtbEVPPW/CMBDdK/EfrENiKzYgoZLGYQBRlTGEhe2Ir0na+BzF&#10;hoT++npA6vj0vtPtaFtxp943jjUs5goEcelMw5WGc3F4fQPhA7LB1jFpeJCHbTZ5STExbuCc7qdQ&#10;iRjCPkENdQhdIqUva7Lo564jjtyX6y2GCPtKmh6HGG5buVRqLS02HBtq7GhXU/lzulkN12Z5xt+8&#10;+FB2c1iF41h83y57rWfThXoHEWgM/+Kn+9NoiFvjlXgDZPYH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IlaNdS5AAAA2gAA&#10;AA8AAAAAAAAAAQAgAAAAIgAAAGRycy9kb3ducmV2LnhtbFBLAQIUABQAAAAIAIdO4kAzLwWeOwAA&#10;ADkAAAAQAAAAAAAAAAEAIAAAAAgBAABkcnMvc2hhcGV4bWwueG1sUEsFBgAAAAAGAAYAWwEAALID&#10;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5haQT7wAAADa&#10;AAAADwAAAGRycy9kb3ducmV2LnhtbEWPwW7CMBBE75X4B2uReis2qVRBiuEACmqPIVy4beMlCcTr&#10;KDYk7dfXlSpxHM3MG81qM9pW3Kn3jWMN85kCQVw603Cl4VhkLwsQPiAbbB2Thm/ysFlPnlaYGjdw&#10;TvdDqESEsE9RQx1Cl0rpy5os+pnriKN3dr3FEGVfSdPjEOG2lYlSb9Jiw3Ghxo62NZXXw81q+GqS&#10;I/7kxV7ZZfYaPsficjvttH6eztU7iEBjeIT/2x9GwxL+rsQbINe/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OYWkE+8AAAA&#10;2g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ptvIKb0AAADb&#10;AAAADwAAAGRycy9kb3ducmV2LnhtbEWPQWvCQBCF7wX/wzKCt7prtUGjqwdBKLQeqoVeh+yYBLOz&#10;Mbtq+u87B8HbDO/Ne9+sNr1v1I26WAe2MBkbUMRFcDWXFn6Ou9c5qJiQHTaBycIfRdisBy8rzF24&#10;8zfdDqlUEsIxRwtVSm2udSwq8hjHoSUW7RQ6j0nWrtSuw7uE+0a/GZNpjzVLQ4UtbSsqzoert4DZ&#10;zF32p+nX8fOa4aLsze7911g7Gk7MElSiPj3Nj+sPJ/hCL7/IAHr9D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m28gpvQAA&#10;ANsAAAAPAAAAAAAAAAEAIAAAACIAAABkcnMvZG93bnJldi54bWxQSwECFAAUAAAACACHTuJAMy8F&#10;njsAAAA5AAAAEAAAAAAAAAABACAAAAAMAQAAZHJzL3NoYXBleG1sLnhtbFBLBQYAAAAABgAGAFsB&#10;AAC2Aw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9"/>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sz w:val="18"/>
                <w:szCs w:val="18"/>
              </w:rPr>
              <w:t xml:space="preserve"> “金鹿理财-普惠季享”</w:t>
            </w:r>
            <w:r>
              <w:rPr>
                <w:rFonts w:hint="eastAsia"/>
                <w:sz w:val="18"/>
                <w:szCs w:val="18"/>
                <w:u w:val="single"/>
                <w:lang w:val="en-US" w:eastAsia="zh-CN"/>
              </w:rPr>
              <w:t>2</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hint="default" w:eastAsia="宋体"/>
                <w:sz w:val="18"/>
                <w:szCs w:val="18"/>
                <w:lang w:val="en-US" w:eastAsia="zh-CN"/>
              </w:rPr>
            </w:pPr>
            <w:r>
              <w:rPr>
                <w:rFonts w:hint="eastAsia"/>
                <w:color w:val="000000"/>
                <w:sz w:val="18"/>
                <w:szCs w:val="18"/>
              </w:rPr>
              <w:t>JX00</w:t>
            </w:r>
            <w:r>
              <w:rPr>
                <w:rFonts w:hint="eastAsia"/>
                <w:color w:val="000000"/>
                <w:sz w:val="18"/>
                <w:szCs w:val="18"/>
                <w:lang w:val="en-US" w:eastAsia="zh-CN"/>
              </w:rPr>
              <w:t>02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hAnsi="Calibri"/>
                <w:sz w:val="18"/>
                <w:szCs w:val="18"/>
              </w:rPr>
            </w:pPr>
            <w:r>
              <w:rPr>
                <w:rFonts w:hint="eastAsia" w:hAnsi="Calibri"/>
                <w:sz w:val="18"/>
                <w:szCs w:val="18"/>
              </w:rPr>
              <w:t>C10922210001</w:t>
            </w:r>
            <w:r>
              <w:rPr>
                <w:rFonts w:hint="eastAsia" w:hAnsi="Calibri"/>
                <w:sz w:val="18"/>
                <w:szCs w:val="18"/>
                <w:lang w:val="en-US" w:eastAsia="zh-CN"/>
              </w:rPr>
              <w:t>4</w:t>
            </w:r>
            <w:r>
              <w:rPr>
                <w:rFonts w:hint="eastAsia" w:hAnsi="Calibri"/>
                <w:sz w:val="18"/>
                <w:szCs w:val="18"/>
              </w:rPr>
              <w:t>5</w:t>
            </w:r>
          </w:p>
          <w:p>
            <w:pPr>
              <w:pStyle w:val="14"/>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发行规模上限50亿份，首个投资运作周期发行规模不超过5亿份。若产品发行规模超出上限，银行有权暂停接受认购</w:t>
            </w:r>
            <w:r>
              <w:rPr>
                <w:rFonts w:hint="eastAsia"/>
                <w:sz w:val="18"/>
                <w:szCs w:val="18"/>
              </w:rPr>
              <w:t>（申购）</w:t>
            </w:r>
            <w:r>
              <w:rPr>
                <w:rFonts w:hint="eastAsia" w:cs="Times New Roman"/>
                <w:sz w:val="18"/>
                <w:szCs w:val="18"/>
              </w:rPr>
              <w:t>申请。（温州银行有权根据产品募集和市场情况调整计划发行量。若认购</w:t>
            </w:r>
            <w:r>
              <w:rPr>
                <w:rFonts w:hint="eastAsia"/>
                <w:sz w:val="18"/>
                <w:szCs w:val="18"/>
              </w:rPr>
              <w:t>（申购）</w:t>
            </w:r>
            <w:r>
              <w:rPr>
                <w:rFonts w:hint="eastAsia" w:cs="Times New Roman"/>
                <w:sz w:val="18"/>
                <w:szCs w:val="18"/>
              </w:rPr>
              <w:t>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u w:val="single"/>
              </w:rPr>
            </w:pPr>
            <w:r>
              <w:rPr>
                <w:rFonts w:hint="eastAsia"/>
                <w:sz w:val="18"/>
                <w:szCs w:val="18"/>
                <w:u w:val="single"/>
              </w:rPr>
              <w:t>2021年</w:t>
            </w:r>
            <w:r>
              <w:rPr>
                <w:rFonts w:hint="eastAsia"/>
                <w:sz w:val="18"/>
                <w:szCs w:val="18"/>
                <w:u w:val="single"/>
                <w:lang w:val="en-US" w:eastAsia="zh-CN"/>
              </w:rPr>
              <w:t>6</w:t>
            </w:r>
            <w:r>
              <w:rPr>
                <w:rFonts w:hint="eastAsia"/>
                <w:sz w:val="18"/>
                <w:szCs w:val="18"/>
                <w:u w:val="single"/>
              </w:rPr>
              <w:t>月1日至2021年</w:t>
            </w:r>
            <w:r>
              <w:rPr>
                <w:rFonts w:hint="eastAsia"/>
                <w:sz w:val="18"/>
                <w:szCs w:val="18"/>
                <w:u w:val="single"/>
                <w:lang w:val="en-US" w:eastAsia="zh-CN"/>
              </w:rPr>
              <w:t>6</w:t>
            </w:r>
            <w:r>
              <w:rPr>
                <w:rFonts w:hint="eastAsia"/>
                <w:sz w:val="18"/>
                <w:szCs w:val="18"/>
                <w:u w:val="single"/>
              </w:rPr>
              <w:t>月</w:t>
            </w:r>
            <w:r>
              <w:rPr>
                <w:rFonts w:hint="eastAsia"/>
                <w:sz w:val="18"/>
                <w:szCs w:val="18"/>
                <w:u w:val="single"/>
                <w:lang w:val="en-US" w:eastAsia="zh-CN"/>
              </w:rPr>
              <w:t>7</w:t>
            </w:r>
            <w:r>
              <w:rPr>
                <w:rFonts w:hint="eastAsia"/>
                <w:sz w:val="18"/>
                <w:szCs w:val="18"/>
                <w:u w:val="single"/>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首个投资运作周期的业绩比较基准为</w:t>
            </w:r>
            <w:r>
              <w:rPr>
                <w:rFonts w:hint="eastAsia" w:cs="Times New Roman"/>
                <w:color w:val="000000"/>
                <w:sz w:val="18"/>
                <w:szCs w:val="18"/>
              </w:rPr>
              <w:t>4.</w:t>
            </w:r>
            <w:r>
              <w:rPr>
                <w:rFonts w:hint="eastAsia" w:cs="Times New Roman"/>
                <w:color w:val="000000"/>
                <w:sz w:val="18"/>
                <w:szCs w:val="18"/>
                <w:lang w:val="en-US" w:eastAsia="zh-CN"/>
              </w:rPr>
              <w:t>1</w:t>
            </w:r>
            <w:r>
              <w:rPr>
                <w:rFonts w:hint="eastAsia" w:cs="Times New Roman"/>
                <w:color w:val="000000"/>
                <w:sz w:val="18"/>
                <w:szCs w:val="18"/>
              </w:rPr>
              <w:t>5%</w:t>
            </w:r>
            <w:r>
              <w:rPr>
                <w:rFonts w:hint="eastAsia" w:cs="Times New Roman"/>
                <w:sz w:val="18"/>
                <w:szCs w:val="18"/>
              </w:rPr>
              <w:t>（年化）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温州银行官方网站或电子银行等信息平台进行</w:t>
            </w:r>
            <w:r>
              <w:rPr>
                <w:rFonts w:cs="Times New Roman"/>
                <w:sz w:val="18"/>
                <w:szCs w:val="18"/>
              </w:rPr>
              <w:t>信息</w:t>
            </w:r>
            <w:r>
              <w:rPr>
                <w:rFonts w:hint="eastAsia" w:cs="Times New Roman"/>
                <w:sz w:val="18"/>
                <w:szCs w:val="18"/>
              </w:rPr>
              <w:t>披露</w:t>
            </w:r>
            <w:r>
              <w:rPr>
                <w:rFonts w:cs="Times New Roman"/>
                <w:sz w:val="18"/>
                <w:szCs w:val="18"/>
              </w:rPr>
              <w:t>。</w:t>
            </w:r>
          </w:p>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sz w:val="18"/>
                <w:szCs w:val="18"/>
              </w:rPr>
              <w:t>本理财计划成立日为</w:t>
            </w:r>
            <w:r>
              <w:rPr>
                <w:rFonts w:hint="eastAsia"/>
                <w:color w:val="000000"/>
                <w:sz w:val="18"/>
                <w:szCs w:val="18"/>
              </w:rPr>
              <w:t>2021年</w:t>
            </w:r>
            <w:r>
              <w:rPr>
                <w:rFonts w:hint="eastAsia"/>
                <w:color w:val="000000"/>
                <w:sz w:val="18"/>
                <w:szCs w:val="18"/>
                <w:lang w:val="en-US" w:eastAsia="zh-CN"/>
              </w:rPr>
              <w:t>6</w:t>
            </w:r>
            <w:r>
              <w:rPr>
                <w:rFonts w:hint="eastAsia"/>
                <w:color w:val="000000"/>
                <w:sz w:val="18"/>
                <w:szCs w:val="18"/>
              </w:rPr>
              <w:t>月</w:t>
            </w:r>
            <w:r>
              <w:rPr>
                <w:rFonts w:hint="eastAsia"/>
                <w:color w:val="000000"/>
                <w:sz w:val="18"/>
                <w:szCs w:val="18"/>
                <w:lang w:val="en-US" w:eastAsia="zh-CN"/>
              </w:rPr>
              <w:t>8</w:t>
            </w:r>
            <w:r>
              <w:rPr>
                <w:rFonts w:hint="eastAsia"/>
                <w:color w:val="000000"/>
                <w:sz w:val="18"/>
                <w:szCs w:val="18"/>
              </w:rPr>
              <w:t>日</w:t>
            </w:r>
            <w:r>
              <w:rPr>
                <w:rFonts w:hint="eastAsia"/>
                <w:sz w:val="18"/>
                <w:szCs w:val="18"/>
              </w:rPr>
              <w:t>。温州银行有权根据实际募集情况选择产品提前成立，若温州银行采取以上措施，温州银行将就产品相应要素的调整事宜于提前成立日前的一个工作日在温州银行网站予以公告。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10</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理财分红</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2．本理财产品一个投资周期为</w:t>
            </w:r>
            <w:r>
              <w:rPr>
                <w:rFonts w:hint="eastAsia" w:ascii="宋体" w:hAnsi="宋体"/>
                <w:sz w:val="18"/>
                <w:lang w:eastAsia="zh-CN"/>
              </w:rPr>
              <w:t>【91】</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lang w:eastAsia="zh-CN"/>
              </w:rPr>
              <w:t>【91】</w:t>
            </w:r>
            <w:r>
              <w:rPr>
                <w:rFonts w:ascii="宋体" w:hAnsi="宋体"/>
                <w:sz w:val="18"/>
              </w:rPr>
              <w:t>天。投资周期终止日如遇非工作日则</w:t>
            </w:r>
            <w:r>
              <w:rPr>
                <w:rFonts w:hint="eastAsia" w:ascii="宋体" w:hAnsi="宋体"/>
                <w:sz w:val="18"/>
              </w:rPr>
              <w:t>顺延至下一个工作日</w:t>
            </w:r>
            <w:r>
              <w:rPr>
                <w:rFonts w:ascii="宋体" w:hAnsi="宋体"/>
                <w:kern w:val="0"/>
                <w:sz w:val="18"/>
              </w:rPr>
              <w:t>。</w:t>
            </w:r>
            <w:r>
              <w:rPr>
                <w:rFonts w:hint="eastAsia" w:ascii="宋体" w:hAnsi="宋体"/>
                <w:kern w:val="0"/>
                <w:sz w:val="18"/>
              </w:rPr>
              <w:t>每个投资运作周期的相关产品要素及具体日期请参照</w:t>
            </w:r>
            <w:r>
              <w:rPr>
                <w:rFonts w:hint="eastAsia"/>
                <w:sz w:val="18"/>
                <w:szCs w:val="18"/>
              </w:rPr>
              <w:t>《温州银行“金鹿理财-普惠</w:t>
            </w:r>
            <w:r>
              <w:rPr>
                <w:rFonts w:hint="eastAsia"/>
                <w:sz w:val="18"/>
                <w:szCs w:val="18"/>
                <w:lang w:eastAsia="zh-CN"/>
              </w:rPr>
              <w:t>季享”2号</w:t>
            </w:r>
            <w:r>
              <w:rPr>
                <w:rFonts w:hint="eastAsia"/>
                <w:sz w:val="18"/>
                <w:szCs w:val="18"/>
              </w:rPr>
              <w:t>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24"/>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认购（申购）资金对应的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4</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单一投资者累计最大购买金额2000万元。</w:t>
            </w:r>
          </w:p>
          <w:p>
            <w:pPr>
              <w:autoSpaceDN w:val="0"/>
              <w:jc w:val="left"/>
              <w:rPr>
                <w:rFonts w:ascii="宋体" w:hAnsi="宋体"/>
                <w:sz w:val="18"/>
              </w:rPr>
            </w:pPr>
            <w:r>
              <w:rPr>
                <w:rFonts w:hint="eastAsia" w:ascii="宋体" w:hAnsi="宋体"/>
                <w:sz w:val="18"/>
              </w:rPr>
              <w:t>单一投资者持有份额不得超过总份额的50%，非因投资管理人主观因素导致突破前款规定比例限制的，在单一投资者持有比例降至50％以下之前，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sz w:val="18"/>
                <w:szCs w:val="18"/>
              </w:rPr>
              <w:t>最高不超过</w:t>
            </w:r>
            <w:r>
              <w:rPr>
                <w:sz w:val="18"/>
                <w:szCs w:val="18"/>
              </w:rPr>
              <w:t>0.</w:t>
            </w:r>
            <w:r>
              <w:rPr>
                <w:rFonts w:hint="eastAsia"/>
                <w:sz w:val="18"/>
                <w:szCs w:val="18"/>
              </w:rPr>
              <w:t>8</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理财产品扣除产品固定管理费及托管费等各项费用后,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7"/>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w:t>
            </w:r>
            <w:r>
              <w:rPr>
                <w:rFonts w:hint="eastAsia" w:ascii="宋体" w:hAnsi="宋体"/>
                <w:sz w:val="18"/>
              </w:rPr>
              <w:t>（申购）</w:t>
            </w:r>
            <w:r>
              <w:rPr>
                <w:rFonts w:hint="eastAsia" w:ascii="宋体" w:hAnsi="宋体"/>
                <w:kern w:val="0"/>
                <w:sz w:val="18"/>
                <w:szCs w:val="18"/>
              </w:rPr>
              <w:t>总额-理财产品赎回总额+理财产品所获总收益-理财产品总费用（包括但不限于固定管理费、浮动管理费、托管费及</w:t>
            </w:r>
            <w:r>
              <w:rPr>
                <w:rFonts w:hint="eastAsia"/>
                <w:sz w:val="18"/>
                <w:szCs w:val="18"/>
              </w:rPr>
              <w:t>税费、</w:t>
            </w:r>
            <w:r>
              <w:rPr>
                <w:rFonts w:hint="eastAsia" w:ascii="宋体" w:hAnsi="宋体"/>
                <w:kern w:val="0"/>
                <w:sz w:val="18"/>
                <w:szCs w:val="18"/>
              </w:rPr>
              <w:t>其他费用等）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债权类资产，部分可投资于权益类资产。具体包括但不限于银行间市场和证券交易所市场债权性资产、非标准化债权资产、公募基金、资产管理计划、信托计划、各类受（收）益权、资产支持证券、票据资产、债券型基金、股票型基金、证券投资基金、债券借贷，及其他符合监管要求的投资标的和资产组合。与交易对手开展买入返售交易的，可接受押品的资质要求应该符合本产品的说明书关于投资范围的约定。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9"/>
        <w:tblW w:w="9400" w:type="dxa"/>
        <w:jc w:val="center"/>
        <w:tblLayout w:type="fixed"/>
        <w:tblCellMar>
          <w:top w:w="0" w:type="dxa"/>
          <w:left w:w="108" w:type="dxa"/>
          <w:bottom w:w="0" w:type="dxa"/>
          <w:right w:w="108" w:type="dxa"/>
        </w:tblCellMar>
      </w:tblPr>
      <w:tblGrid>
        <w:gridCol w:w="2081"/>
        <w:gridCol w:w="5616"/>
        <w:gridCol w:w="1703"/>
      </w:tblGrid>
      <w:tr>
        <w:tblPrEx>
          <w:tblCellMar>
            <w:top w:w="0" w:type="dxa"/>
            <w:left w:w="108" w:type="dxa"/>
            <w:bottom w:w="0" w:type="dxa"/>
            <w:right w:w="108" w:type="dxa"/>
          </w:tblCellMar>
        </w:tblPrEx>
        <w:trPr>
          <w:trHeight w:val="270" w:hRule="atLeast"/>
          <w:jc w:val="center"/>
        </w:trPr>
        <w:tc>
          <w:tcPr>
            <w:tcW w:w="208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61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08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债券回购、货币市场工具类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tcBorders>
              <w:top w:val="nil"/>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权益类资产</w:t>
            </w: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sz w:val="18"/>
                <w:szCs w:val="18"/>
              </w:rPr>
              <w:t>股票型基金、证券投资基金以及其他符合监管要求的权益类资产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本产品的托管人为招商</w:t>
      </w:r>
      <w:r>
        <w:rPr>
          <w:sz w:val="18"/>
          <w:szCs w:val="18"/>
        </w:rPr>
        <w:t>银行股份有限公司</w:t>
      </w:r>
      <w:r>
        <w:rPr>
          <w:rFonts w:hint="eastAsia"/>
          <w:sz w:val="18"/>
          <w:szCs w:val="18"/>
        </w:rPr>
        <w:t>宁波分行，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投资合作机构</w:t>
      </w:r>
    </w:p>
    <w:p>
      <w:pPr>
        <w:adjustRightInd w:val="0"/>
        <w:snapToGrid w:val="0"/>
        <w:spacing w:line="286"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本产品业绩比较基准仅作为计提产品浮动管理费的依据，不构成温州银行对该理财产品的任何收益承诺。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sz w:val="18"/>
          <w:szCs w:val="18"/>
        </w:rPr>
        <w:t>《温州银行“金鹿理财-普惠</w:t>
      </w:r>
      <w:r>
        <w:rPr>
          <w:rFonts w:hint="eastAsia"/>
          <w:sz w:val="18"/>
          <w:szCs w:val="18"/>
          <w:lang w:eastAsia="zh-CN"/>
        </w:rPr>
        <w:t>季享”2号</w:t>
      </w:r>
      <w:r>
        <w:rPr>
          <w:rFonts w:hint="eastAsia"/>
          <w:sz w:val="18"/>
          <w:szCs w:val="18"/>
        </w:rPr>
        <w:t>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sz w:val="18"/>
          <w:szCs w:val="18"/>
        </w:rPr>
        <w:t>：本理财计划成立日为</w:t>
      </w:r>
      <w:r>
        <w:rPr>
          <w:rFonts w:hint="eastAsia"/>
          <w:color w:val="000000"/>
          <w:sz w:val="18"/>
          <w:szCs w:val="18"/>
        </w:rPr>
        <w:t>2021年</w:t>
      </w:r>
      <w:r>
        <w:rPr>
          <w:rFonts w:hint="eastAsia"/>
          <w:color w:val="000000"/>
          <w:sz w:val="18"/>
          <w:szCs w:val="18"/>
          <w:lang w:val="en-US" w:eastAsia="zh-CN"/>
        </w:rPr>
        <w:t>6</w:t>
      </w:r>
      <w:r>
        <w:rPr>
          <w:rFonts w:hint="eastAsia"/>
          <w:color w:val="000000"/>
          <w:sz w:val="18"/>
          <w:szCs w:val="18"/>
        </w:rPr>
        <w:t>月</w:t>
      </w:r>
      <w:r>
        <w:rPr>
          <w:rFonts w:hint="eastAsia"/>
          <w:color w:val="000000"/>
          <w:sz w:val="18"/>
          <w:szCs w:val="18"/>
          <w:lang w:val="en-US" w:eastAsia="zh-CN"/>
        </w:rPr>
        <w:t>8</w:t>
      </w:r>
      <w:r>
        <w:rPr>
          <w:rFonts w:hint="eastAsia"/>
          <w:color w:val="000000"/>
          <w:sz w:val="18"/>
          <w:szCs w:val="18"/>
        </w:rPr>
        <w:t>日</w:t>
      </w:r>
      <w:r>
        <w:rPr>
          <w:rFonts w:hint="eastAsia"/>
          <w:sz w:val="18"/>
          <w:szCs w:val="18"/>
        </w:rPr>
        <w:t>，从成立日起，每</w:t>
      </w:r>
      <w:r>
        <w:rPr>
          <w:rFonts w:hint="eastAsia" w:ascii="宋体" w:hAnsi="宋体"/>
          <w:sz w:val="18"/>
          <w:lang w:eastAsia="zh-CN"/>
        </w:rPr>
        <w:t>【91】</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lang w:eastAsia="zh-CN"/>
        </w:rPr>
        <w:t>【91】</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r>
        <w:rPr>
          <w:sz w:val="18"/>
          <w:szCs w:val="18"/>
        </w:rPr>
        <w:t xml:space="preserve"> </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）投资者可于开放期内向温州银行提出赎回申请，温州银行按照先申请、先赎回原则确认赎回申请，如该赎回日内净赎回份额合计超过理财产品总份额的2</w:t>
      </w:r>
      <w:r>
        <w:rPr>
          <w:sz w:val="18"/>
          <w:szCs w:val="18"/>
        </w:rPr>
        <w:t>0%，则发生</w:t>
      </w:r>
      <w:r>
        <w:rPr>
          <w:rFonts w:hint="eastAsia"/>
          <w:sz w:val="18"/>
          <w:szCs w:val="18"/>
        </w:rPr>
        <w:t>巨额赎回事件，温州银行有权拒绝接受超过2</w:t>
      </w:r>
      <w:r>
        <w:rPr>
          <w:sz w:val="18"/>
          <w:szCs w:val="18"/>
        </w:rPr>
        <w:t>0%以上部分的赎回申请。</w:t>
      </w:r>
    </w:p>
    <w:p>
      <w:pPr>
        <w:adjustRightInd w:val="0"/>
        <w:snapToGrid w:val="0"/>
        <w:spacing w:line="286" w:lineRule="auto"/>
        <w:rPr>
          <w:sz w:val="18"/>
          <w:szCs w:val="18"/>
        </w:rPr>
      </w:pPr>
      <w:r>
        <w:rPr>
          <w:rFonts w:hint="eastAsia"/>
          <w:sz w:val="18"/>
          <w:szCs w:val="18"/>
        </w:rPr>
        <w:t>示例：如果最新理财计划总存续份额为1</w:t>
      </w:r>
      <w:r>
        <w:rPr>
          <w:sz w:val="18"/>
          <w:szCs w:val="18"/>
        </w:rPr>
        <w:t>0</w:t>
      </w:r>
      <w:r>
        <w:rPr>
          <w:rFonts w:hint="eastAsia"/>
          <w:sz w:val="18"/>
          <w:szCs w:val="18"/>
        </w:rPr>
        <w:t>亿份，在开放期内投资者净赎回达到</w:t>
      </w:r>
      <w:r>
        <w:rPr>
          <w:sz w:val="18"/>
          <w:szCs w:val="18"/>
        </w:rPr>
        <w:t>2</w:t>
      </w:r>
      <w:r>
        <w:rPr>
          <w:rFonts w:hint="eastAsia"/>
          <w:sz w:val="18"/>
          <w:szCs w:val="18"/>
        </w:rPr>
        <w:t>亿份，温州银行有权拒绝确认</w:t>
      </w:r>
      <w:r>
        <w:rPr>
          <w:sz w:val="18"/>
          <w:szCs w:val="18"/>
        </w:rPr>
        <w:t>2</w:t>
      </w:r>
      <w:r>
        <w:rPr>
          <w:rFonts w:hint="eastAsia"/>
          <w:sz w:val="18"/>
          <w:szCs w:val="18"/>
        </w:rPr>
        <w:t>亿份之后的赎回申请，相应的投资者当期无法赎回理财计划份额。</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rPr>
        <w:t>千元或人民币</w:t>
      </w:r>
      <w:r>
        <w:rPr>
          <w:sz w:val="18"/>
          <w:szCs w:val="18"/>
        </w:rPr>
        <w:t>1</w:t>
      </w:r>
      <w:r>
        <w:rPr>
          <w:rFonts w:hint="eastAsia"/>
          <w:sz w:val="18"/>
          <w:szCs w:val="18"/>
        </w:rPr>
        <w:t>千元的整数倍。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理财计划存续期内，若理财计划赎回日净赎回申请份额超过上一确认日日终理财计划总份额10%时，即构成巨额赎回，监管机构另有规定的除外。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上一确认日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收取短期赎回费：产品发生巨额赎回或管理人认为可能回导致产品流动性风险的其他情形下，管理人可向连续持有少于7日的开放式理财产品投资者收取赎回费，并将上述赎回费全额计入理财产品财产。</w:t>
      </w:r>
    </w:p>
    <w:p>
      <w:pPr>
        <w:adjustRightInd w:val="0"/>
        <w:snapToGrid w:val="0"/>
        <w:spacing w:line="286" w:lineRule="auto"/>
        <w:rPr>
          <w:sz w:val="18"/>
          <w:szCs w:val="18"/>
        </w:rPr>
      </w:pPr>
      <w:r>
        <w:rPr>
          <w:rFonts w:hint="eastAsia"/>
          <w:sz w:val="18"/>
          <w:szCs w:val="18"/>
        </w:rPr>
        <w:t>在理财计划存续期内，管理人有权根据市场情况调整巨额赎回金额比例，并及时进行对外公告。</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申购份额＝申购金额÷申购确认日前一自然日理财计划份额净值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示例：假定某投资者投资100万元人民币申购本理财计划，理财计划份额净值为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理财计划采用“份额赎回”方式，赎回价格以赎回日的理财计划份额净值为基准进行计算,计算公式如下：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赎回金额＝总赎回份额×赎回确认日前一自然日理财计划份额净值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赎回费＝赎回金额×赎回费率，本计划赎回费率为0。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示例：假定某投资者赎回100000份理财计划份额，理财计划份额净值为1.0530元人民币时赎回。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6.拒绝或暂停接受申购或赎回申请、延缓支付赎回款项的情形及处理方式</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（1）发生以下情形，管理人可以决定是否拒绝或暂停接受全部或部分投资者的申购申请：</w:t>
      </w:r>
    </w:p>
    <w:p>
      <w:pPr>
        <w:adjustRightInd w:val="0"/>
        <w:snapToGrid w:val="0"/>
        <w:spacing w:line="286" w:lineRule="auto"/>
        <w:rPr>
          <w:sz w:val="18"/>
          <w:szCs w:val="18"/>
        </w:rPr>
      </w:pPr>
      <w:r>
        <w:rPr>
          <w:rFonts w:hint="eastAsia"/>
          <w:sz w:val="18"/>
          <w:szCs w:val="18"/>
        </w:rPr>
        <w:t>1）投资者申购超过产品说明书约定的发行规模上限、单笔认/申购上限、单一客户持有上限、单日净申购比例上限等。</w:t>
      </w:r>
    </w:p>
    <w:p>
      <w:pPr>
        <w:adjustRightInd w:val="0"/>
        <w:snapToGrid w:val="0"/>
        <w:spacing w:line="286" w:lineRule="auto"/>
        <w:rPr>
          <w:sz w:val="18"/>
          <w:szCs w:val="18"/>
        </w:rPr>
      </w:pPr>
      <w:r>
        <w:rPr>
          <w:rFonts w:hint="eastAsia"/>
          <w:sz w:val="18"/>
          <w:szCs w:val="18"/>
        </w:rPr>
        <w:t>2）理财计划资产规模过大，继续接受申购可能对理财计划业绩产生负面影响，从而损害理财产品存量投资者利益的情形时。</w:t>
      </w:r>
    </w:p>
    <w:p>
      <w:pPr>
        <w:adjustRightInd w:val="0"/>
        <w:snapToGrid w:val="0"/>
        <w:spacing w:line="286" w:lineRule="auto"/>
        <w:rPr>
          <w:sz w:val="18"/>
          <w:szCs w:val="18"/>
        </w:rPr>
      </w:pPr>
      <w:r>
        <w:rPr>
          <w:rFonts w:hint="eastAsia"/>
          <w:sz w:val="18"/>
          <w:szCs w:val="18"/>
        </w:rPr>
        <w:t>3）当接受认购申请可能会有损于理财产品存量投资者利益时。</w:t>
      </w:r>
    </w:p>
    <w:p>
      <w:pPr>
        <w:adjustRightInd w:val="0"/>
        <w:snapToGrid w:val="0"/>
        <w:spacing w:line="286" w:lineRule="auto"/>
        <w:rPr>
          <w:sz w:val="18"/>
          <w:szCs w:val="18"/>
        </w:rPr>
      </w:pPr>
      <w:r>
        <w:rPr>
          <w:rFonts w:hint="eastAsia"/>
          <w:sz w:val="18"/>
          <w:szCs w:val="18"/>
        </w:rPr>
        <w:t>4）当管理人接受某笔或者某些申购申请有可能导致单一投资者持有理财计划份额的比例达到或超过50%的情形。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5）发生产品说明书约定的暂停估值的情形时。</w:t>
      </w:r>
    </w:p>
    <w:p>
      <w:pPr>
        <w:adjustRightInd w:val="0"/>
        <w:snapToGrid w:val="0"/>
        <w:spacing w:line="286" w:lineRule="auto"/>
        <w:rPr>
          <w:sz w:val="18"/>
          <w:szCs w:val="18"/>
        </w:rPr>
      </w:pPr>
      <w:r>
        <w:rPr>
          <w:rFonts w:hint="eastAsia"/>
          <w:sz w:val="18"/>
          <w:szCs w:val="18"/>
        </w:rPr>
        <w:t>6）法律法规规定或监管机构认定的其他情形。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sz w:val="18"/>
          <w:szCs w:val="18"/>
        </w:rPr>
      </w:pPr>
      <w:r>
        <w:rPr>
          <w:rFonts w:hint="eastAsia"/>
          <w:sz w:val="18"/>
          <w:szCs w:val="18"/>
        </w:rPr>
        <w:t>（2）发生下列情形时，管理人可暂停接受投资者的赎回申请或延缓支付赎回款项：</w:t>
      </w:r>
    </w:p>
    <w:p>
      <w:pPr>
        <w:numPr>
          <w:ilvl w:val="0"/>
          <w:numId w:val="3"/>
        </w:numPr>
        <w:adjustRightInd w:val="0"/>
        <w:snapToGrid w:val="0"/>
        <w:spacing w:line="286" w:lineRule="auto"/>
        <w:rPr>
          <w:sz w:val="18"/>
          <w:szCs w:val="18"/>
        </w:rPr>
      </w:pPr>
      <w:r>
        <w:rPr>
          <w:rFonts w:hint="eastAsia"/>
          <w:sz w:val="18"/>
          <w:szCs w:val="18"/>
        </w:rPr>
        <w:t>发生巨额赎回或连续巨额赎回的情形时。</w:t>
      </w:r>
    </w:p>
    <w:p>
      <w:pPr>
        <w:numPr>
          <w:ilvl w:val="0"/>
          <w:numId w:val="3"/>
        </w:numPr>
        <w:adjustRightInd w:val="0"/>
        <w:snapToGrid w:val="0"/>
        <w:spacing w:line="286" w:lineRule="auto"/>
        <w:rPr>
          <w:sz w:val="18"/>
          <w:szCs w:val="18"/>
        </w:rPr>
      </w:pPr>
      <w:r>
        <w:rPr>
          <w:sz w:val="18"/>
          <w:szCs w:val="18"/>
        </w:rPr>
        <w:t>当</w:t>
      </w:r>
      <w:r>
        <w:rPr>
          <w:rFonts w:hint="eastAsia"/>
          <w:sz w:val="18"/>
          <w:szCs w:val="18"/>
        </w:rPr>
        <w:t>接受赎回</w:t>
      </w:r>
      <w:r>
        <w:rPr>
          <w:sz w:val="18"/>
          <w:szCs w:val="18"/>
        </w:rPr>
        <w:t>申请可能会有损于理财产品存量投资者利益时。</w:t>
      </w:r>
    </w:p>
    <w:p>
      <w:pPr>
        <w:numPr>
          <w:ilvl w:val="0"/>
          <w:numId w:val="3"/>
        </w:numPr>
        <w:adjustRightInd w:val="0"/>
        <w:snapToGrid w:val="0"/>
        <w:spacing w:line="286" w:lineRule="auto"/>
        <w:rPr>
          <w:sz w:val="18"/>
          <w:szCs w:val="18"/>
        </w:rPr>
      </w:pPr>
      <w:r>
        <w:rPr>
          <w:rFonts w:hint="eastAsia"/>
          <w:sz w:val="18"/>
          <w:szCs w:val="18"/>
        </w:rPr>
        <w:t>发生赎回申请超过赎回上限的情形时。</w:t>
      </w:r>
    </w:p>
    <w:p>
      <w:pPr>
        <w:numPr>
          <w:ilvl w:val="0"/>
          <w:numId w:val="3"/>
        </w:numPr>
        <w:adjustRightInd w:val="0"/>
        <w:snapToGrid w:val="0"/>
        <w:spacing w:line="286" w:lineRule="auto"/>
        <w:rPr>
          <w:sz w:val="18"/>
          <w:szCs w:val="18"/>
        </w:rPr>
      </w:pPr>
      <w:r>
        <w:rPr>
          <w:rFonts w:hint="eastAsia"/>
          <w:sz w:val="18"/>
          <w:szCs w:val="18"/>
        </w:rPr>
        <w:t>发生产品说明书约定的暂停估值的情形时。</w:t>
      </w:r>
    </w:p>
    <w:p>
      <w:pPr>
        <w:numPr>
          <w:ilvl w:val="0"/>
          <w:numId w:val="3"/>
        </w:numPr>
        <w:adjustRightInd w:val="0"/>
        <w:snapToGrid w:val="0"/>
        <w:spacing w:line="286" w:lineRule="auto"/>
        <w:rPr>
          <w:sz w:val="18"/>
          <w:szCs w:val="18"/>
        </w:rPr>
      </w:pPr>
      <w:r>
        <w:rPr>
          <w:rFonts w:hint="eastAsia"/>
          <w:sz w:val="18"/>
          <w:szCs w:val="18"/>
        </w:rPr>
        <w:t>法律法规规定或监管机构认定的其他情形。</w:t>
      </w:r>
    </w:p>
    <w:p>
      <w:pPr>
        <w:adjustRightInd w:val="0"/>
        <w:snapToGrid w:val="0"/>
        <w:spacing w:line="286" w:lineRule="auto"/>
        <w:rPr>
          <w:sz w:val="18"/>
          <w:szCs w:val="18"/>
        </w:rPr>
      </w:pPr>
      <w:r>
        <w:rPr>
          <w:rFonts w:hint="eastAsia"/>
          <w:sz w:val="18"/>
          <w:szCs w:val="18"/>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sz w:val="18"/>
          <w:szCs w:val="18"/>
        </w:rPr>
      </w:pPr>
      <w:r>
        <w:rPr>
          <w:rFonts w:hint="eastAsia"/>
          <w:sz w:val="18"/>
          <w:szCs w:val="18"/>
        </w:rPr>
        <w:t>本产品预计到期终止日为</w:t>
      </w:r>
      <w:r>
        <w:rPr>
          <w:rFonts w:hint="eastAsia"/>
          <w:color w:val="000000"/>
          <w:sz w:val="18"/>
          <w:szCs w:val="18"/>
        </w:rPr>
        <w:t>2031年</w:t>
      </w:r>
      <w:r>
        <w:rPr>
          <w:rFonts w:hint="eastAsia"/>
          <w:color w:val="000000"/>
          <w:sz w:val="18"/>
          <w:szCs w:val="18"/>
          <w:lang w:val="en-US" w:eastAsia="zh-CN"/>
        </w:rPr>
        <w:t>6</w:t>
      </w:r>
      <w:r>
        <w:rPr>
          <w:rFonts w:hint="eastAsia"/>
          <w:color w:val="000000"/>
          <w:sz w:val="18"/>
          <w:szCs w:val="18"/>
        </w:rPr>
        <w:t>月</w:t>
      </w:r>
      <w:r>
        <w:rPr>
          <w:rFonts w:hint="eastAsia"/>
          <w:color w:val="000000"/>
          <w:sz w:val="18"/>
          <w:szCs w:val="18"/>
          <w:lang w:val="en-US" w:eastAsia="zh-CN"/>
        </w:rPr>
        <w:t>8</w:t>
      </w:r>
      <w:r>
        <w:rPr>
          <w:rFonts w:hint="eastAsia"/>
          <w:color w:val="000000"/>
          <w:sz w:val="18"/>
          <w:szCs w:val="18"/>
        </w:rPr>
        <w:t>日</w:t>
      </w:r>
      <w:r>
        <w:rPr>
          <w:rFonts w:hint="eastAsia"/>
          <w:color w:val="000000"/>
          <w:sz w:val="18"/>
        </w:rPr>
        <w:t>，</w:t>
      </w:r>
      <w:r>
        <w:rPr>
          <w:rFonts w:hint="eastAsia"/>
          <w:sz w:val="18"/>
          <w:szCs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理财管理人对委托资产收取的固定管理费，理财计划财产的年固定管理费率为0.8%（最高），计算方法如下：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w:t>
      </w:r>
      <w:r>
        <w:rPr>
          <w:rFonts w:hint="eastAsia" w:ascii="宋体" w:hAnsi="宋体"/>
          <w:sz w:val="18"/>
          <w:lang w:val="zh-CN"/>
        </w:rPr>
        <w:t>每个投资运作周期到期日</w:t>
      </w:r>
      <w:r>
        <w:rPr>
          <w:rFonts w:hint="eastAsia"/>
          <w:sz w:val="18"/>
          <w:szCs w:val="18"/>
        </w:rPr>
        <w:t>从理财计划财产中扣除。</w:t>
      </w:r>
    </w:p>
    <w:p>
      <w:pPr>
        <w:adjustRightInd w:val="0"/>
        <w:snapToGrid w:val="0"/>
        <w:spacing w:line="286" w:lineRule="auto"/>
        <w:rPr>
          <w:sz w:val="18"/>
          <w:szCs w:val="18"/>
        </w:rPr>
      </w:pPr>
      <w:r>
        <w:rPr>
          <w:rFonts w:hint="eastAsia"/>
          <w:sz w:val="18"/>
          <w:szCs w:val="18"/>
        </w:rPr>
        <w:t>（2）理财管理人的浮动管理费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=F</w:t>
      </w:r>
      <w:r>
        <w:rPr>
          <w:rFonts w:hint="eastAsia"/>
          <w:sz w:val="18"/>
          <w:szCs w:val="18"/>
          <w:vertAlign w:val="subscript"/>
        </w:rPr>
        <w:t>T</w:t>
      </w:r>
      <w:r>
        <w:rPr>
          <w:rFonts w:hint="eastAsia"/>
          <w:sz w:val="18"/>
          <w:szCs w:val="18"/>
        </w:rPr>
        <w:t>-F</w:t>
      </w:r>
      <w:r>
        <w:rPr>
          <w:rFonts w:hint="eastAsia"/>
          <w:sz w:val="18"/>
          <w:szCs w:val="18"/>
          <w:vertAlign w:val="subscript"/>
        </w:rPr>
        <w:t>（T-1）</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=MAX（F</w:t>
      </w:r>
      <w:r>
        <w:rPr>
          <w:rFonts w:hint="eastAsia"/>
          <w:sz w:val="18"/>
          <w:szCs w:val="18"/>
          <w:vertAlign w:val="subscript"/>
        </w:rPr>
        <w:t>0</w:t>
      </w:r>
      <w:r>
        <w:rPr>
          <w:rFonts w:hint="eastAsia"/>
          <w:sz w:val="18"/>
          <w:szCs w:val="18"/>
        </w:rPr>
        <w:t>+（A- A</w:t>
      </w:r>
      <w:r>
        <w:rPr>
          <w:rFonts w:hint="eastAsia"/>
          <w:sz w:val="18"/>
          <w:szCs w:val="18"/>
          <w:vertAlign w:val="subscript"/>
        </w:rPr>
        <w:t>0</w:t>
      </w:r>
      <w:r>
        <w:rPr>
          <w:sz w:val="18"/>
          <w:szCs w:val="18"/>
        </w:rPr>
        <w:t>×</w:t>
      </w:r>
      <w:r>
        <w:rPr>
          <w:rFonts w:hint="eastAsia"/>
          <w:sz w:val="18"/>
          <w:szCs w:val="18"/>
        </w:rPr>
        <w:t>（1+R</w:t>
      </w:r>
      <w:r>
        <w:rPr>
          <w:rFonts w:hint="eastAsia"/>
          <w:sz w:val="18"/>
          <w:szCs w:val="18"/>
          <w:vertAlign w:val="subscript"/>
        </w:rPr>
        <w:t xml:space="preserve"> i</w:t>
      </w:r>
      <w:r>
        <w:rPr>
          <w:sz w:val="18"/>
          <w:szCs w:val="18"/>
        </w:rPr>
        <w:t>×</w:t>
      </w:r>
      <w:r>
        <w:rPr>
          <w:rFonts w:hint="eastAsia"/>
          <w:sz w:val="18"/>
          <w:szCs w:val="18"/>
        </w:rPr>
        <w:t>T</w:t>
      </w:r>
      <w:r>
        <w:rPr>
          <w:sz w:val="18"/>
          <w:szCs w:val="18"/>
        </w:rPr>
        <w:t>÷365</w:t>
      </w:r>
      <w:r>
        <w:rPr>
          <w:rFonts w:hint="eastAsia"/>
          <w:sz w:val="18"/>
          <w:szCs w:val="18"/>
        </w:rPr>
        <w:t>））×80%，0）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为每日应计提的浮动管理费，当计提后的浮动管理费余额小于0时，则当日不再予以计提。</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为当日已计提且未扣除的浮动管理费余额，F</w:t>
      </w:r>
      <w:r>
        <w:rPr>
          <w:rFonts w:hint="eastAsia"/>
          <w:sz w:val="18"/>
          <w:szCs w:val="18"/>
          <w:vertAlign w:val="subscript"/>
        </w:rPr>
        <w:t>（T-1）</w:t>
      </w:r>
      <w:r>
        <w:rPr>
          <w:rFonts w:hint="eastAsia"/>
          <w:sz w:val="18"/>
          <w:szCs w:val="18"/>
        </w:rPr>
        <w:t>为上一日已计提且未扣除的浮动管理费余额。</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0</w:t>
      </w:r>
      <w:r>
        <w:rPr>
          <w:rFonts w:hint="eastAsia"/>
          <w:sz w:val="18"/>
          <w:szCs w:val="18"/>
        </w:rPr>
        <w:t>为本</w:t>
      </w:r>
      <w:r>
        <w:rPr>
          <w:sz w:val="18"/>
          <w:szCs w:val="18"/>
        </w:rPr>
        <w:t>周期起始日前</w:t>
      </w:r>
      <w:r>
        <w:rPr>
          <w:rFonts w:hint="eastAsia"/>
          <w:sz w:val="18"/>
          <w:szCs w:val="18"/>
        </w:rPr>
        <w:t>一日已计提且未扣除的浮动管理费余额。</w:t>
      </w:r>
    </w:p>
    <w:p>
      <w:pPr>
        <w:adjustRightInd w:val="0"/>
        <w:snapToGrid w:val="0"/>
        <w:spacing w:line="286" w:lineRule="auto"/>
        <w:rPr>
          <w:sz w:val="18"/>
          <w:szCs w:val="18"/>
        </w:rPr>
      </w:pPr>
      <w:r>
        <w:rPr>
          <w:sz w:val="18"/>
          <w:szCs w:val="18"/>
        </w:rPr>
        <w:t>A为当日扣除</w:t>
      </w:r>
      <w:r>
        <w:rPr>
          <w:rFonts w:hint="eastAsia"/>
          <w:sz w:val="18"/>
          <w:szCs w:val="18"/>
        </w:rPr>
        <w:t>浮动</w:t>
      </w:r>
      <w:r>
        <w:rPr>
          <w:sz w:val="18"/>
          <w:szCs w:val="18"/>
        </w:rPr>
        <w:t>管理费</w:t>
      </w:r>
      <w:r>
        <w:rPr>
          <w:rFonts w:hint="eastAsia"/>
          <w:sz w:val="18"/>
          <w:szCs w:val="18"/>
        </w:rPr>
        <w:t>前</w:t>
      </w:r>
      <w:r>
        <w:rPr>
          <w:sz w:val="18"/>
          <w:szCs w:val="18"/>
        </w:rPr>
        <w:t>以及除权分红前的产品资产净值</w:t>
      </w:r>
      <w:r>
        <w:rPr>
          <w:rFonts w:hint="eastAsia"/>
          <w:sz w:val="18"/>
          <w:szCs w:val="18"/>
        </w:rPr>
        <w:t>。</w:t>
      </w:r>
    </w:p>
    <w:p>
      <w:pPr>
        <w:adjustRightInd w:val="0"/>
        <w:snapToGrid w:val="0"/>
        <w:spacing w:line="286" w:lineRule="auto"/>
        <w:rPr>
          <w:sz w:val="18"/>
          <w:szCs w:val="18"/>
        </w:rPr>
      </w:pPr>
      <w:r>
        <w:rPr>
          <w:rFonts w:hint="eastAsia"/>
          <w:sz w:val="18"/>
          <w:szCs w:val="18"/>
        </w:rPr>
        <w:t>A</w:t>
      </w:r>
      <w:r>
        <w:rPr>
          <w:rFonts w:hint="eastAsia"/>
          <w:sz w:val="18"/>
          <w:szCs w:val="18"/>
          <w:vertAlign w:val="subscript"/>
        </w:rPr>
        <w:t>0</w:t>
      </w:r>
      <w:r>
        <w:rPr>
          <w:sz w:val="18"/>
          <w:szCs w:val="18"/>
        </w:rPr>
        <w:t>为</w:t>
      </w:r>
      <w:r>
        <w:rPr>
          <w:rFonts w:hint="eastAsia"/>
          <w:sz w:val="18"/>
          <w:szCs w:val="18"/>
        </w:rPr>
        <w:t>【本</w:t>
      </w:r>
      <w:r>
        <w:rPr>
          <w:sz w:val="18"/>
          <w:szCs w:val="18"/>
        </w:rPr>
        <w:t>周期起始日前一日的产品资产净值÷</w:t>
      </w:r>
      <w:r>
        <w:rPr>
          <w:rFonts w:hint="eastAsia"/>
          <w:sz w:val="18"/>
          <w:szCs w:val="18"/>
        </w:rPr>
        <w:t>本</w:t>
      </w:r>
      <w:r>
        <w:rPr>
          <w:sz w:val="18"/>
          <w:szCs w:val="18"/>
        </w:rPr>
        <w:t>周期起始日前一日的</w:t>
      </w:r>
      <w:r>
        <w:rPr>
          <w:rFonts w:hint="eastAsia"/>
          <w:sz w:val="18"/>
          <w:szCs w:val="18"/>
        </w:rPr>
        <w:t>产品</w:t>
      </w:r>
      <w:r>
        <w:rPr>
          <w:sz w:val="18"/>
          <w:szCs w:val="18"/>
        </w:rPr>
        <w:t>份额×本周期</w:t>
      </w:r>
      <w:r>
        <w:rPr>
          <w:rFonts w:hint="eastAsia"/>
          <w:sz w:val="18"/>
          <w:szCs w:val="18"/>
        </w:rPr>
        <w:t>产品</w:t>
      </w:r>
      <w:r>
        <w:rPr>
          <w:sz w:val="18"/>
          <w:szCs w:val="18"/>
        </w:rPr>
        <w:t>份额（</w:t>
      </w:r>
      <w:r>
        <w:rPr>
          <w:rFonts w:hint="eastAsia"/>
          <w:sz w:val="18"/>
          <w:szCs w:val="18"/>
        </w:rPr>
        <w:t>首个投资</w:t>
      </w:r>
      <w:r>
        <w:rPr>
          <w:sz w:val="18"/>
          <w:szCs w:val="18"/>
        </w:rPr>
        <w:t>周期</w:t>
      </w:r>
      <w:r>
        <w:rPr>
          <w:rFonts w:hint="eastAsia"/>
          <w:sz w:val="18"/>
          <w:szCs w:val="18"/>
        </w:rPr>
        <w:t>该项等于</w:t>
      </w:r>
      <w:r>
        <w:rPr>
          <w:sz w:val="18"/>
          <w:szCs w:val="18"/>
        </w:rPr>
        <w:t>成立金额）</w:t>
      </w:r>
      <w:r>
        <w:rPr>
          <w:rFonts w:hint="eastAsia"/>
          <w:sz w:val="18"/>
          <w:szCs w:val="18"/>
        </w:rPr>
        <w:t>】</w:t>
      </w:r>
    </w:p>
    <w:p>
      <w:pPr>
        <w:adjustRightInd w:val="0"/>
        <w:snapToGrid w:val="0"/>
        <w:spacing w:line="286" w:lineRule="auto"/>
        <w:rPr>
          <w:sz w:val="18"/>
          <w:szCs w:val="18"/>
        </w:rPr>
      </w:pPr>
      <w:r>
        <w:rPr>
          <w:rFonts w:hint="eastAsia"/>
          <w:sz w:val="18"/>
          <w:szCs w:val="18"/>
        </w:rPr>
        <w:t>T</w:t>
      </w:r>
      <w:r>
        <w:rPr>
          <w:sz w:val="18"/>
          <w:szCs w:val="18"/>
        </w:rPr>
        <w:t>为本</w:t>
      </w:r>
      <w:r>
        <w:rPr>
          <w:rFonts w:hint="eastAsia"/>
          <w:sz w:val="18"/>
          <w:szCs w:val="18"/>
        </w:rPr>
        <w:t>投资</w:t>
      </w:r>
      <w:r>
        <w:rPr>
          <w:sz w:val="18"/>
          <w:szCs w:val="18"/>
        </w:rPr>
        <w:t>周期起始日（含）到</w:t>
      </w:r>
      <w:r>
        <w:rPr>
          <w:rFonts w:hint="eastAsia"/>
          <w:sz w:val="18"/>
          <w:szCs w:val="18"/>
        </w:rPr>
        <w:t>浮动管理费计提</w:t>
      </w:r>
      <w:r>
        <w:rPr>
          <w:sz w:val="18"/>
          <w:szCs w:val="18"/>
        </w:rPr>
        <w:t>日（含）的天数</w:t>
      </w:r>
      <w:r>
        <w:rPr>
          <w:rFonts w:hint="eastAsia"/>
          <w:sz w:val="18"/>
          <w:szCs w:val="18"/>
        </w:rPr>
        <w:t>。</w:t>
      </w:r>
    </w:p>
    <w:p>
      <w:pPr>
        <w:adjustRightInd w:val="0"/>
        <w:snapToGrid w:val="0"/>
        <w:spacing w:line="286" w:lineRule="auto"/>
        <w:rPr>
          <w:sz w:val="18"/>
          <w:szCs w:val="18"/>
        </w:rPr>
      </w:pPr>
      <w:r>
        <w:rPr>
          <w:rFonts w:hint="eastAsia"/>
          <w:sz w:val="18"/>
          <w:szCs w:val="18"/>
        </w:rPr>
        <w:t>R</w:t>
      </w:r>
      <w:r>
        <w:rPr>
          <w:rFonts w:hint="eastAsia"/>
          <w:sz w:val="18"/>
          <w:szCs w:val="18"/>
          <w:vertAlign w:val="subscript"/>
        </w:rPr>
        <w:t>i</w:t>
      </w:r>
      <w:r>
        <w:rPr>
          <w:sz w:val="18"/>
          <w:szCs w:val="18"/>
        </w:rPr>
        <w:t>为本周期业绩比较基准</w:t>
      </w:r>
      <w:r>
        <w:rPr>
          <w:rFonts w:hint="eastAsia"/>
          <w:sz w:val="18"/>
          <w:szCs w:val="18"/>
        </w:rPr>
        <w:t>，若业绩比较基准存在区间范围的，则为业绩比较基准区间均值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（3）理财托管人的托管费</w:t>
      </w:r>
    </w:p>
    <w:p>
      <w:pPr>
        <w:adjustRightInd w:val="0"/>
        <w:snapToGrid w:val="0"/>
        <w:spacing w:line="286" w:lineRule="auto"/>
        <w:rPr>
          <w:sz w:val="18"/>
          <w:szCs w:val="18"/>
        </w:rPr>
      </w:pPr>
      <w:r>
        <w:rPr>
          <w:rFonts w:hint="eastAsia"/>
          <w:sz w:val="18"/>
          <w:szCs w:val="18"/>
        </w:rPr>
        <w:t>理财计划财产的年托管费率为0.005%，计算方法如下：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（1）计算公式</w:t>
      </w:r>
    </w:p>
    <w:p>
      <w:pPr>
        <w:adjustRightInd w:val="0"/>
        <w:snapToGrid w:val="0"/>
        <w:spacing w:line="286" w:lineRule="auto"/>
        <w:rPr>
          <w:sz w:val="18"/>
          <w:szCs w:val="18"/>
        </w:rPr>
      </w:pPr>
      <w:r>
        <w:rPr>
          <w:rFonts w:hint="eastAsia"/>
          <w:sz w:val="18"/>
          <w:szCs w:val="18"/>
        </w:rPr>
        <w:t>投资者理财收益＝认购/申购份额×投资运作周期到期日（提前终止日）理财产品总净值÷理财产品总份额—认购/申购金额。</w:t>
      </w:r>
    </w:p>
    <w:p>
      <w:pPr>
        <w:adjustRightInd w:val="0"/>
        <w:snapToGrid w:val="0"/>
        <w:spacing w:line="286" w:lineRule="auto"/>
        <w:rPr>
          <w:sz w:val="18"/>
          <w:szCs w:val="18"/>
        </w:rPr>
      </w:pPr>
      <w:r>
        <w:rPr>
          <w:rFonts w:hint="eastAsia"/>
          <w:sz w:val="18"/>
          <w:szCs w:val="18"/>
        </w:rPr>
        <w:t>注：上述公式中“投资运作周期到期日（提前终止日）理财产品总净值”为本理财产品资产在扣除托管费、固定管理费、浮动管理费及税费、其他费用等相关费用后计算产生的理财产品总净值。</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w:t>
      </w:r>
      <w:r>
        <w:rPr>
          <w:rFonts w:hint="eastAsia" w:ascii="宋体" w:hAnsi="宋体"/>
          <w:sz w:val="18"/>
          <w:szCs w:val="18"/>
        </w:rPr>
        <w:t>、资本市场</w:t>
      </w:r>
      <w:r>
        <w:rPr>
          <w:rFonts w:ascii="宋体" w:hAnsi="宋体"/>
          <w:sz w:val="18"/>
          <w:szCs w:val="18"/>
        </w:rPr>
        <w:t>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和利益分配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 xml:space="preserve"> = </w:t>
      </w:r>
      <w:r>
        <w:rPr>
          <w:rFonts w:hint="eastAsia"/>
          <w:sz w:val="18"/>
          <w:szCs w:val="18"/>
        </w:rPr>
        <w:t>投资者理财计划到期日持有理财计划份额×理财计划到期日理财计划份额净值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 xml:space="preserve"> = </w:t>
      </w:r>
      <w:r>
        <w:rPr>
          <w:rFonts w:hint="eastAsia"/>
          <w:sz w:val="18"/>
          <w:szCs w:val="18"/>
        </w:rPr>
        <w:t>理财计划到期日份额净值-认购（申购）确认日前一自然日份额净值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 xml:space="preserve"> = </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甚至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20%，则发生巨额赎回事件，温州银行有权拒绝接受超过20%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2"/>
        <w:adjustRightInd w:val="0"/>
        <w:snapToGrid w:val="0"/>
        <w:spacing w:line="286" w:lineRule="auto"/>
        <w:ind w:firstLine="0"/>
        <w:rPr>
          <w:rFonts w:ascii="宋体" w:hAnsi="宋体"/>
          <w:sz w:val="18"/>
          <w:szCs w:val="18"/>
        </w:rPr>
      </w:pPr>
      <w:r>
        <w:rPr>
          <w:rFonts w:hint="eastAsia" w:ascii="宋体" w:hAnsi="宋体"/>
          <w:sz w:val="18"/>
          <w:szCs w:val="18"/>
        </w:rPr>
        <w:t>9、利率风险：本理财产品在实际投资运作过程中，由于利率市场出现巨大变化造成本理财产品所投资产价格发生波动，从而影响理财产品投资收益的，投资者的本金和收益可能遭受部分或全部损失。</w:t>
      </w:r>
    </w:p>
    <w:p>
      <w:pPr>
        <w:pStyle w:val="12"/>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指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份额净值、份额累计净值、认购（申购）价格和赎回价格。</w:t>
      </w:r>
    </w:p>
    <w:p>
      <w:pPr>
        <w:adjustRightInd w:val="0"/>
        <w:snapToGrid w:val="0"/>
        <w:spacing w:line="286" w:lineRule="auto"/>
        <w:rPr>
          <w:sz w:val="18"/>
          <w:szCs w:val="18"/>
        </w:rPr>
      </w:pPr>
      <w:r>
        <w:rPr>
          <w:rFonts w:hint="eastAsia"/>
          <w:sz w:val="18"/>
          <w:szCs w:val="18"/>
        </w:rPr>
        <w:t>3、临时性公告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（3）管理人将在运用暂停认购、暂停理财产品估值等措施后，3个交易日内发布相关事项公告，说明运用相关措施的原因、拟采取的应对安排等。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4"/>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4"/>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4"/>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4"/>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（3）《温州银行“金鹿理财-普惠</w:t>
      </w:r>
      <w:r>
        <w:rPr>
          <w:rFonts w:hint="eastAsia"/>
          <w:sz w:val="18"/>
          <w:szCs w:val="18"/>
          <w:lang w:eastAsia="zh-CN"/>
        </w:rPr>
        <w:t>季享”2号</w:t>
      </w:r>
      <w:r>
        <w:rPr>
          <w:rFonts w:hint="eastAsia"/>
          <w:sz w:val="18"/>
          <w:szCs w:val="18"/>
        </w:rPr>
        <w:t>开放式净值型银行理财计划风险揭示书》、《温州银行“金鹿理财”银行理财计划合约》、《温州银行“金鹿理财-普惠</w:t>
      </w:r>
      <w:r>
        <w:rPr>
          <w:rFonts w:hint="eastAsia"/>
          <w:sz w:val="18"/>
          <w:szCs w:val="18"/>
          <w:lang w:eastAsia="zh-CN"/>
        </w:rPr>
        <w:t>季享”2号</w:t>
      </w:r>
      <w:r>
        <w:rPr>
          <w:rFonts w:hint="eastAsia"/>
          <w:sz w:val="18"/>
          <w:szCs w:val="18"/>
        </w:rPr>
        <w:t>开放式净值型（第i期）银行理财计划开放认购（申购）申请书》和《温州银行理财产品投资者权益须知》等销售文件中的内容与本产品说明书不一致的，以本产品说明书约定的内容为准。</w:t>
      </w:r>
    </w:p>
    <w:p>
      <w:pPr>
        <w:spacing w:before="312" w:beforeLines="100" w:line="281" w:lineRule="auto"/>
        <w:rPr>
          <w:rFonts w:ascii="宋体" w:hAnsi="宋体"/>
          <w:szCs w:val="21"/>
        </w:rPr>
      </w:pPr>
      <w:r>
        <w:rPr>
          <w:rFonts w:hint="eastAsia" w:ascii="宋体" w:hAnsi="宋体"/>
          <w:szCs w:val="21"/>
        </w:rPr>
        <w:t xml:space="preserve">         投资者签章：                                 日期：</w:t>
      </w: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12</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1BA6D1A"/>
    <w:multiLevelType w:val="singleLevel"/>
    <w:tmpl w:val="D1BA6D1A"/>
    <w:lvl w:ilvl="0" w:tentative="0">
      <w:start w:val="1"/>
      <w:numFmt w:val="decimal"/>
      <w:suff w:val="nothing"/>
      <w:lvlText w:val="（%1）"/>
      <w:lvlJc w:val="left"/>
      <w:pPr>
        <w:ind w:left="0" w:firstLine="0"/>
      </w:pPr>
    </w:lvl>
  </w:abstractNum>
  <w:abstractNum w:abstractNumId="1">
    <w:nsid w:val="03829B1D"/>
    <w:multiLevelType w:val="singleLevel"/>
    <w:tmpl w:val="03829B1D"/>
    <w:lvl w:ilvl="0" w:tentative="0">
      <w:start w:val="4"/>
      <w:numFmt w:val="decimal"/>
      <w:suff w:val="nothing"/>
      <w:lvlText w:val="%1、"/>
      <w:lvlJc w:val="left"/>
    </w:lvl>
  </w:abstractNum>
  <w:abstractNum w:abstractNumId="2">
    <w:nsid w:val="0DCAC7AF"/>
    <w:multiLevelType w:val="singleLevel"/>
    <w:tmpl w:val="0DCAC7AF"/>
    <w:lvl w:ilvl="0" w:tentative="0">
      <w:start w:val="1"/>
      <w:numFmt w:val="decimal"/>
      <w:suff w:val="nothing"/>
      <w:lvlText w:val="%1）"/>
      <w:lvlJc w:val="left"/>
    </w:lvl>
  </w:abstractNum>
  <w:abstractNum w:abstractNumId="3">
    <w:nsid w:val="63C75758"/>
    <w:multiLevelType w:val="singleLevel"/>
    <w:tmpl w:val="63C75758"/>
    <w:lvl w:ilvl="0" w:tentative="0">
      <w:start w:val="11"/>
      <w:numFmt w:val="decimal"/>
      <w:suff w:val="nothing"/>
      <w:lvlText w:val="（%1）"/>
      <w:lvlJc w:val="left"/>
    </w:lvl>
  </w:abstractNum>
  <w:num w:numId="1">
    <w:abstractNumId w:val="1"/>
  </w:num>
  <w:num w:numId="2">
    <w:abstractNumId w:val="3"/>
  </w:num>
  <w:num w:numId="3">
    <w:abstractNumId w:val="2"/>
  </w:num>
  <w:num w:numId="4">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Full" w:cryptAlgorithmClass="hash" w:cryptAlgorithmType="typeAny" w:cryptAlgorithmSid="4" w:cryptSpinCount="0" w:hash="gtiZNq9g2IFhoGll8xlioPnGcXE=" w:salt="d/gqJzdlYHxbhcAR1N8ojQ=="/>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00BD4"/>
    <w:rsid w:val="0001592B"/>
    <w:rsid w:val="00021A55"/>
    <w:rsid w:val="0002448A"/>
    <w:rsid w:val="0002530D"/>
    <w:rsid w:val="00030D80"/>
    <w:rsid w:val="00037BF4"/>
    <w:rsid w:val="00057C36"/>
    <w:rsid w:val="00072738"/>
    <w:rsid w:val="00074701"/>
    <w:rsid w:val="000773B8"/>
    <w:rsid w:val="00090DCE"/>
    <w:rsid w:val="00093C1F"/>
    <w:rsid w:val="000A24D9"/>
    <w:rsid w:val="000A6768"/>
    <w:rsid w:val="000A76AD"/>
    <w:rsid w:val="000C4E56"/>
    <w:rsid w:val="000D5D81"/>
    <w:rsid w:val="000D7E58"/>
    <w:rsid w:val="000E4DFB"/>
    <w:rsid w:val="000E70C0"/>
    <w:rsid w:val="000F73EB"/>
    <w:rsid w:val="001224C7"/>
    <w:rsid w:val="001327C2"/>
    <w:rsid w:val="001513E8"/>
    <w:rsid w:val="00172A27"/>
    <w:rsid w:val="00174C1E"/>
    <w:rsid w:val="00175BC0"/>
    <w:rsid w:val="001878D6"/>
    <w:rsid w:val="001A266D"/>
    <w:rsid w:val="001B072E"/>
    <w:rsid w:val="001B3C36"/>
    <w:rsid w:val="001C4450"/>
    <w:rsid w:val="001C5082"/>
    <w:rsid w:val="001C6468"/>
    <w:rsid w:val="001D249C"/>
    <w:rsid w:val="00200136"/>
    <w:rsid w:val="00200E4E"/>
    <w:rsid w:val="00201EDB"/>
    <w:rsid w:val="00213831"/>
    <w:rsid w:val="002227DF"/>
    <w:rsid w:val="0022470B"/>
    <w:rsid w:val="00232248"/>
    <w:rsid w:val="00240506"/>
    <w:rsid w:val="002414F1"/>
    <w:rsid w:val="00254268"/>
    <w:rsid w:val="00263685"/>
    <w:rsid w:val="00270113"/>
    <w:rsid w:val="00277F68"/>
    <w:rsid w:val="00283708"/>
    <w:rsid w:val="00284CF7"/>
    <w:rsid w:val="002920DB"/>
    <w:rsid w:val="00292B4F"/>
    <w:rsid w:val="00295577"/>
    <w:rsid w:val="002B0DB2"/>
    <w:rsid w:val="002B4C51"/>
    <w:rsid w:val="002D2FEE"/>
    <w:rsid w:val="002D3346"/>
    <w:rsid w:val="002D38E1"/>
    <w:rsid w:val="002E1193"/>
    <w:rsid w:val="002F586E"/>
    <w:rsid w:val="00311060"/>
    <w:rsid w:val="00316211"/>
    <w:rsid w:val="003202D1"/>
    <w:rsid w:val="003234C3"/>
    <w:rsid w:val="00327CC1"/>
    <w:rsid w:val="00331715"/>
    <w:rsid w:val="00335AAB"/>
    <w:rsid w:val="00337FAA"/>
    <w:rsid w:val="00355563"/>
    <w:rsid w:val="00357FFC"/>
    <w:rsid w:val="00365AC9"/>
    <w:rsid w:val="00393B79"/>
    <w:rsid w:val="00396330"/>
    <w:rsid w:val="003B2C0B"/>
    <w:rsid w:val="003C0AAE"/>
    <w:rsid w:val="003C7E63"/>
    <w:rsid w:val="003D56A0"/>
    <w:rsid w:val="003E17D1"/>
    <w:rsid w:val="003E695A"/>
    <w:rsid w:val="00411496"/>
    <w:rsid w:val="0041376C"/>
    <w:rsid w:val="0041485A"/>
    <w:rsid w:val="004149A7"/>
    <w:rsid w:val="00417895"/>
    <w:rsid w:val="00417F06"/>
    <w:rsid w:val="00423734"/>
    <w:rsid w:val="00423CAE"/>
    <w:rsid w:val="004278C0"/>
    <w:rsid w:val="004317BE"/>
    <w:rsid w:val="00447041"/>
    <w:rsid w:val="00452A4B"/>
    <w:rsid w:val="00456806"/>
    <w:rsid w:val="004668AB"/>
    <w:rsid w:val="00470F35"/>
    <w:rsid w:val="00476925"/>
    <w:rsid w:val="004800A1"/>
    <w:rsid w:val="00483CA8"/>
    <w:rsid w:val="004C668B"/>
    <w:rsid w:val="004D22D2"/>
    <w:rsid w:val="004D78AD"/>
    <w:rsid w:val="004E1894"/>
    <w:rsid w:val="004F4867"/>
    <w:rsid w:val="004F4993"/>
    <w:rsid w:val="0050183B"/>
    <w:rsid w:val="0050310C"/>
    <w:rsid w:val="005236A4"/>
    <w:rsid w:val="00526355"/>
    <w:rsid w:val="005333E7"/>
    <w:rsid w:val="00541381"/>
    <w:rsid w:val="00543E6B"/>
    <w:rsid w:val="0054786A"/>
    <w:rsid w:val="00560484"/>
    <w:rsid w:val="00565D6D"/>
    <w:rsid w:val="00584A33"/>
    <w:rsid w:val="005C1814"/>
    <w:rsid w:val="005D00A7"/>
    <w:rsid w:val="005E003B"/>
    <w:rsid w:val="005E1224"/>
    <w:rsid w:val="005F0ADF"/>
    <w:rsid w:val="005F4153"/>
    <w:rsid w:val="005F48B2"/>
    <w:rsid w:val="00606B12"/>
    <w:rsid w:val="00607D7E"/>
    <w:rsid w:val="006131D3"/>
    <w:rsid w:val="00616A9E"/>
    <w:rsid w:val="006320DF"/>
    <w:rsid w:val="00635890"/>
    <w:rsid w:val="00645D61"/>
    <w:rsid w:val="00662969"/>
    <w:rsid w:val="00675E2D"/>
    <w:rsid w:val="00677DB7"/>
    <w:rsid w:val="006807AD"/>
    <w:rsid w:val="00680B55"/>
    <w:rsid w:val="00681EA0"/>
    <w:rsid w:val="006871D5"/>
    <w:rsid w:val="006940BB"/>
    <w:rsid w:val="00696817"/>
    <w:rsid w:val="006A44DB"/>
    <w:rsid w:val="006A4DCA"/>
    <w:rsid w:val="006A5C18"/>
    <w:rsid w:val="006C2300"/>
    <w:rsid w:val="006E0989"/>
    <w:rsid w:val="006E7B4A"/>
    <w:rsid w:val="0071047A"/>
    <w:rsid w:val="0071552D"/>
    <w:rsid w:val="00715881"/>
    <w:rsid w:val="00716CFC"/>
    <w:rsid w:val="0072441B"/>
    <w:rsid w:val="007250BB"/>
    <w:rsid w:val="007408D0"/>
    <w:rsid w:val="007418E8"/>
    <w:rsid w:val="007420B8"/>
    <w:rsid w:val="00767169"/>
    <w:rsid w:val="00772F1A"/>
    <w:rsid w:val="00774B99"/>
    <w:rsid w:val="00781E33"/>
    <w:rsid w:val="00784FF1"/>
    <w:rsid w:val="007948FD"/>
    <w:rsid w:val="007A0DD0"/>
    <w:rsid w:val="007A2668"/>
    <w:rsid w:val="007A6295"/>
    <w:rsid w:val="007B319B"/>
    <w:rsid w:val="007B40AA"/>
    <w:rsid w:val="007B43C7"/>
    <w:rsid w:val="007D6AB9"/>
    <w:rsid w:val="007D74E0"/>
    <w:rsid w:val="007E78B8"/>
    <w:rsid w:val="007F0FB3"/>
    <w:rsid w:val="007F7B52"/>
    <w:rsid w:val="0080322B"/>
    <w:rsid w:val="00821571"/>
    <w:rsid w:val="0083211C"/>
    <w:rsid w:val="008348C5"/>
    <w:rsid w:val="0083490C"/>
    <w:rsid w:val="008507F2"/>
    <w:rsid w:val="00853209"/>
    <w:rsid w:val="008538DA"/>
    <w:rsid w:val="00854453"/>
    <w:rsid w:val="008603CA"/>
    <w:rsid w:val="00864A10"/>
    <w:rsid w:val="00871D73"/>
    <w:rsid w:val="00875641"/>
    <w:rsid w:val="00881761"/>
    <w:rsid w:val="008826B8"/>
    <w:rsid w:val="00883377"/>
    <w:rsid w:val="008839ED"/>
    <w:rsid w:val="00883BDE"/>
    <w:rsid w:val="00884B07"/>
    <w:rsid w:val="0089389F"/>
    <w:rsid w:val="008A0854"/>
    <w:rsid w:val="008D02C9"/>
    <w:rsid w:val="008E35D2"/>
    <w:rsid w:val="008F77F3"/>
    <w:rsid w:val="00905E6C"/>
    <w:rsid w:val="0091076A"/>
    <w:rsid w:val="00913684"/>
    <w:rsid w:val="00926BDB"/>
    <w:rsid w:val="00926E46"/>
    <w:rsid w:val="009361EA"/>
    <w:rsid w:val="00940984"/>
    <w:rsid w:val="00940E8A"/>
    <w:rsid w:val="00942523"/>
    <w:rsid w:val="00955C82"/>
    <w:rsid w:val="00962E2B"/>
    <w:rsid w:val="009660F8"/>
    <w:rsid w:val="0096731D"/>
    <w:rsid w:val="009709DB"/>
    <w:rsid w:val="00971C73"/>
    <w:rsid w:val="009729A3"/>
    <w:rsid w:val="009743F3"/>
    <w:rsid w:val="0098184C"/>
    <w:rsid w:val="0098325C"/>
    <w:rsid w:val="0098666D"/>
    <w:rsid w:val="00992652"/>
    <w:rsid w:val="009943AE"/>
    <w:rsid w:val="0099651C"/>
    <w:rsid w:val="00996ED6"/>
    <w:rsid w:val="009A3DF7"/>
    <w:rsid w:val="009A4BB7"/>
    <w:rsid w:val="009B2D45"/>
    <w:rsid w:val="009D4976"/>
    <w:rsid w:val="009E3D90"/>
    <w:rsid w:val="009F35B4"/>
    <w:rsid w:val="00A02C99"/>
    <w:rsid w:val="00A03C1B"/>
    <w:rsid w:val="00A30A29"/>
    <w:rsid w:val="00A34CB4"/>
    <w:rsid w:val="00A4162F"/>
    <w:rsid w:val="00A4210C"/>
    <w:rsid w:val="00A42BBA"/>
    <w:rsid w:val="00A605F7"/>
    <w:rsid w:val="00A62A1A"/>
    <w:rsid w:val="00A63A86"/>
    <w:rsid w:val="00A75676"/>
    <w:rsid w:val="00A77638"/>
    <w:rsid w:val="00A85414"/>
    <w:rsid w:val="00A9272A"/>
    <w:rsid w:val="00A94352"/>
    <w:rsid w:val="00AA0BCA"/>
    <w:rsid w:val="00AA235B"/>
    <w:rsid w:val="00AA30D2"/>
    <w:rsid w:val="00AA5EAB"/>
    <w:rsid w:val="00AA798B"/>
    <w:rsid w:val="00AB07C5"/>
    <w:rsid w:val="00AB1240"/>
    <w:rsid w:val="00AB4C88"/>
    <w:rsid w:val="00AB5E02"/>
    <w:rsid w:val="00AC0326"/>
    <w:rsid w:val="00AC4F2E"/>
    <w:rsid w:val="00AD65C5"/>
    <w:rsid w:val="00AF1EA1"/>
    <w:rsid w:val="00AF3269"/>
    <w:rsid w:val="00B01686"/>
    <w:rsid w:val="00B10799"/>
    <w:rsid w:val="00B1643B"/>
    <w:rsid w:val="00B1785B"/>
    <w:rsid w:val="00B21C5E"/>
    <w:rsid w:val="00B30DC3"/>
    <w:rsid w:val="00B37831"/>
    <w:rsid w:val="00B625CA"/>
    <w:rsid w:val="00B66B39"/>
    <w:rsid w:val="00B85F47"/>
    <w:rsid w:val="00B93D50"/>
    <w:rsid w:val="00B9709A"/>
    <w:rsid w:val="00B9734C"/>
    <w:rsid w:val="00BB0CD4"/>
    <w:rsid w:val="00BC0976"/>
    <w:rsid w:val="00BD4426"/>
    <w:rsid w:val="00BF2243"/>
    <w:rsid w:val="00BF4706"/>
    <w:rsid w:val="00BF4F90"/>
    <w:rsid w:val="00BF620E"/>
    <w:rsid w:val="00C027A1"/>
    <w:rsid w:val="00C0532A"/>
    <w:rsid w:val="00C059F8"/>
    <w:rsid w:val="00C073C2"/>
    <w:rsid w:val="00C242A5"/>
    <w:rsid w:val="00C24357"/>
    <w:rsid w:val="00C24F32"/>
    <w:rsid w:val="00C305A3"/>
    <w:rsid w:val="00C35DAF"/>
    <w:rsid w:val="00C56ED4"/>
    <w:rsid w:val="00C72133"/>
    <w:rsid w:val="00C80707"/>
    <w:rsid w:val="00C810C6"/>
    <w:rsid w:val="00C84D81"/>
    <w:rsid w:val="00C97136"/>
    <w:rsid w:val="00CA13A5"/>
    <w:rsid w:val="00CC2C76"/>
    <w:rsid w:val="00CC765E"/>
    <w:rsid w:val="00CD09FF"/>
    <w:rsid w:val="00CD409B"/>
    <w:rsid w:val="00CE617C"/>
    <w:rsid w:val="00CE7491"/>
    <w:rsid w:val="00CE7E5D"/>
    <w:rsid w:val="00D01626"/>
    <w:rsid w:val="00D25B32"/>
    <w:rsid w:val="00D356D1"/>
    <w:rsid w:val="00D36208"/>
    <w:rsid w:val="00D41F07"/>
    <w:rsid w:val="00D512E8"/>
    <w:rsid w:val="00D55DFB"/>
    <w:rsid w:val="00D57AFE"/>
    <w:rsid w:val="00D6260D"/>
    <w:rsid w:val="00D63C88"/>
    <w:rsid w:val="00D63DA7"/>
    <w:rsid w:val="00D70358"/>
    <w:rsid w:val="00D82A41"/>
    <w:rsid w:val="00D93FDC"/>
    <w:rsid w:val="00D94430"/>
    <w:rsid w:val="00DA3F75"/>
    <w:rsid w:val="00DB0875"/>
    <w:rsid w:val="00DB2CA3"/>
    <w:rsid w:val="00DC2B39"/>
    <w:rsid w:val="00DC65FC"/>
    <w:rsid w:val="00DC7C59"/>
    <w:rsid w:val="00DD29AD"/>
    <w:rsid w:val="00DD7530"/>
    <w:rsid w:val="00DE34C0"/>
    <w:rsid w:val="00E1017C"/>
    <w:rsid w:val="00E12E29"/>
    <w:rsid w:val="00E12F16"/>
    <w:rsid w:val="00E16528"/>
    <w:rsid w:val="00E24A4D"/>
    <w:rsid w:val="00E266E2"/>
    <w:rsid w:val="00E3238B"/>
    <w:rsid w:val="00E32508"/>
    <w:rsid w:val="00E3681B"/>
    <w:rsid w:val="00E40303"/>
    <w:rsid w:val="00E42C84"/>
    <w:rsid w:val="00E52F41"/>
    <w:rsid w:val="00E60A78"/>
    <w:rsid w:val="00E60CF4"/>
    <w:rsid w:val="00E63B73"/>
    <w:rsid w:val="00E65B25"/>
    <w:rsid w:val="00E662D2"/>
    <w:rsid w:val="00E70F57"/>
    <w:rsid w:val="00E71505"/>
    <w:rsid w:val="00E754E0"/>
    <w:rsid w:val="00E84D0D"/>
    <w:rsid w:val="00E8643F"/>
    <w:rsid w:val="00E87CB9"/>
    <w:rsid w:val="00E909CC"/>
    <w:rsid w:val="00E924AA"/>
    <w:rsid w:val="00EA75DD"/>
    <w:rsid w:val="00EB3CE4"/>
    <w:rsid w:val="00EB5277"/>
    <w:rsid w:val="00EC4367"/>
    <w:rsid w:val="00EC6311"/>
    <w:rsid w:val="00EF0939"/>
    <w:rsid w:val="00EF6E3A"/>
    <w:rsid w:val="00F049E8"/>
    <w:rsid w:val="00F10679"/>
    <w:rsid w:val="00F13828"/>
    <w:rsid w:val="00F147A8"/>
    <w:rsid w:val="00F15351"/>
    <w:rsid w:val="00F16536"/>
    <w:rsid w:val="00F41CAD"/>
    <w:rsid w:val="00F464B6"/>
    <w:rsid w:val="00F531B4"/>
    <w:rsid w:val="00F716E3"/>
    <w:rsid w:val="00F8620F"/>
    <w:rsid w:val="00F9213E"/>
    <w:rsid w:val="00F925B2"/>
    <w:rsid w:val="00F94C2E"/>
    <w:rsid w:val="00F95651"/>
    <w:rsid w:val="00FB4B88"/>
    <w:rsid w:val="00FC488B"/>
    <w:rsid w:val="00FD4E62"/>
    <w:rsid w:val="00FE2618"/>
    <w:rsid w:val="00FF5369"/>
    <w:rsid w:val="020974D0"/>
    <w:rsid w:val="03E53755"/>
    <w:rsid w:val="066C589E"/>
    <w:rsid w:val="08807A47"/>
    <w:rsid w:val="09B94EA2"/>
    <w:rsid w:val="0CBE0DC0"/>
    <w:rsid w:val="0D932C83"/>
    <w:rsid w:val="0E3B5E45"/>
    <w:rsid w:val="0ECE1796"/>
    <w:rsid w:val="0FE54F11"/>
    <w:rsid w:val="0FE82C2F"/>
    <w:rsid w:val="126646E4"/>
    <w:rsid w:val="146B494C"/>
    <w:rsid w:val="159568EC"/>
    <w:rsid w:val="15E33B2F"/>
    <w:rsid w:val="1624383D"/>
    <w:rsid w:val="1AA621F2"/>
    <w:rsid w:val="1C705AA1"/>
    <w:rsid w:val="1CFA3565"/>
    <w:rsid w:val="1E5D6CD4"/>
    <w:rsid w:val="1E892A88"/>
    <w:rsid w:val="1EB46358"/>
    <w:rsid w:val="1F3C3C29"/>
    <w:rsid w:val="2046303D"/>
    <w:rsid w:val="218C0FFF"/>
    <w:rsid w:val="22D61972"/>
    <w:rsid w:val="24B5250E"/>
    <w:rsid w:val="24EC01E5"/>
    <w:rsid w:val="26391DA6"/>
    <w:rsid w:val="27136D61"/>
    <w:rsid w:val="288238BF"/>
    <w:rsid w:val="28F040F4"/>
    <w:rsid w:val="2A4A498F"/>
    <w:rsid w:val="2A895AE0"/>
    <w:rsid w:val="2E9C558E"/>
    <w:rsid w:val="2ED174C9"/>
    <w:rsid w:val="2F6B7FAD"/>
    <w:rsid w:val="309C114C"/>
    <w:rsid w:val="323E181F"/>
    <w:rsid w:val="329B527D"/>
    <w:rsid w:val="372A2254"/>
    <w:rsid w:val="38AD607F"/>
    <w:rsid w:val="39F24DBC"/>
    <w:rsid w:val="3C2600FF"/>
    <w:rsid w:val="3C2F4817"/>
    <w:rsid w:val="3D8657D9"/>
    <w:rsid w:val="3E773417"/>
    <w:rsid w:val="40876BD9"/>
    <w:rsid w:val="41696BFE"/>
    <w:rsid w:val="41A2557E"/>
    <w:rsid w:val="42E80146"/>
    <w:rsid w:val="430E3733"/>
    <w:rsid w:val="44020BD3"/>
    <w:rsid w:val="45880862"/>
    <w:rsid w:val="46616490"/>
    <w:rsid w:val="472A2551"/>
    <w:rsid w:val="47500909"/>
    <w:rsid w:val="48113790"/>
    <w:rsid w:val="4A5E2770"/>
    <w:rsid w:val="4A803D41"/>
    <w:rsid w:val="4D522BFA"/>
    <w:rsid w:val="4EE753FB"/>
    <w:rsid w:val="4EEB4EDA"/>
    <w:rsid w:val="4F890433"/>
    <w:rsid w:val="50044A9D"/>
    <w:rsid w:val="504772D4"/>
    <w:rsid w:val="51824B96"/>
    <w:rsid w:val="54136DAE"/>
    <w:rsid w:val="57321F73"/>
    <w:rsid w:val="597154CE"/>
    <w:rsid w:val="5AB80354"/>
    <w:rsid w:val="60673C3A"/>
    <w:rsid w:val="61531CCB"/>
    <w:rsid w:val="61D77567"/>
    <w:rsid w:val="64050BF1"/>
    <w:rsid w:val="648166C0"/>
    <w:rsid w:val="67BF7733"/>
    <w:rsid w:val="69624529"/>
    <w:rsid w:val="6FA8317D"/>
    <w:rsid w:val="70351356"/>
    <w:rsid w:val="71F277C9"/>
    <w:rsid w:val="723D7B75"/>
    <w:rsid w:val="725B595C"/>
    <w:rsid w:val="73E946FA"/>
    <w:rsid w:val="767F00CC"/>
    <w:rsid w:val="775A5D01"/>
    <w:rsid w:val="7AEF5FC2"/>
    <w:rsid w:val="7D3F4EE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iPriority="99" w:semiHidden="0"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10">
    <w:name w:val="Default Paragraph Font"/>
    <w:semiHidden/>
    <w:unhideWhenUsed/>
    <w:uiPriority w:val="1"/>
  </w:style>
  <w:style w:type="table" w:default="1" w:styleId="9">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8"/>
    <w:unhideWhenUsed/>
    <w:qFormat/>
    <w:uiPriority w:val="99"/>
    <w:pPr>
      <w:jc w:val="left"/>
    </w:pPr>
  </w:style>
  <w:style w:type="paragraph" w:styleId="3">
    <w:name w:val="Balloon Text"/>
    <w:basedOn w:val="1"/>
    <w:link w:val="16"/>
    <w:unhideWhenUsed/>
    <w:qFormat/>
    <w:uiPriority w:val="99"/>
    <w:rPr>
      <w:sz w:val="18"/>
      <w:szCs w:val="18"/>
    </w:rPr>
  </w:style>
  <w:style w:type="paragraph" w:styleId="4">
    <w:name w:val="footer"/>
    <w:basedOn w:val="1"/>
    <w:link w:val="21"/>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9"/>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HTML Preformatted"/>
    <w:basedOn w:val="1"/>
    <w:link w:val="20"/>
    <w:unhideWhenUsed/>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kern w:val="0"/>
      <w:sz w:val="24"/>
      <w:szCs w:val="24"/>
    </w:rPr>
  </w:style>
  <w:style w:type="paragraph" w:styleId="7">
    <w:name w:val="Normal (Web)"/>
    <w:basedOn w:val="1"/>
    <w:unhideWhenUsed/>
    <w:qFormat/>
    <w:uiPriority w:val="99"/>
    <w:rPr>
      <w:sz w:val="24"/>
    </w:rPr>
  </w:style>
  <w:style w:type="paragraph" w:styleId="8">
    <w:name w:val="annotation subject"/>
    <w:basedOn w:val="2"/>
    <w:next w:val="2"/>
    <w:link w:val="17"/>
    <w:unhideWhenUsed/>
    <w:qFormat/>
    <w:uiPriority w:val="99"/>
    <w:rPr>
      <w:b/>
      <w:bCs/>
    </w:rPr>
  </w:style>
  <w:style w:type="character" w:styleId="11">
    <w:name w:val="annotation reference"/>
    <w:unhideWhenUsed/>
    <w:qFormat/>
    <w:uiPriority w:val="99"/>
    <w:rPr>
      <w:sz w:val="21"/>
      <w:szCs w:val="21"/>
    </w:rPr>
  </w:style>
  <w:style w:type="paragraph" w:styleId="12">
    <w:name w:val="List Paragraph"/>
    <w:basedOn w:val="1"/>
    <w:qFormat/>
    <w:uiPriority w:val="34"/>
    <w:pPr>
      <w:widowControl/>
      <w:ind w:firstLine="420"/>
    </w:pPr>
    <w:rPr>
      <w:rFonts w:ascii="Calibri" w:hAnsi="Calibri" w:cs="宋体"/>
      <w:kern w:val="0"/>
      <w:szCs w:val="21"/>
    </w:rPr>
  </w:style>
  <w:style w:type="paragraph" w:customStyle="1" w:styleId="13">
    <w:name w:val="_Style 12"/>
    <w:unhideWhenUsed/>
    <w:qFormat/>
    <w:uiPriority w:val="99"/>
    <w:rPr>
      <w:rFonts w:ascii="Times New Roman" w:hAnsi="Times New Roman" w:eastAsia="宋体" w:cs="Times New Roman"/>
      <w:kern w:val="2"/>
      <w:sz w:val="21"/>
      <w:lang w:val="en-US" w:eastAsia="zh-CN" w:bidi="ar-SA"/>
    </w:rPr>
  </w:style>
  <w:style w:type="paragraph" w:customStyle="1" w:styleId="14">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15">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character" w:customStyle="1" w:styleId="16">
    <w:name w:val="批注框文本 字符"/>
    <w:link w:val="3"/>
    <w:semiHidden/>
    <w:qFormat/>
    <w:uiPriority w:val="99"/>
    <w:rPr>
      <w:rFonts w:ascii="Times New Roman" w:hAnsi="Times New Roman"/>
      <w:kern w:val="2"/>
      <w:sz w:val="18"/>
      <w:szCs w:val="18"/>
    </w:rPr>
  </w:style>
  <w:style w:type="character" w:customStyle="1" w:styleId="17">
    <w:name w:val="批注主题 字符"/>
    <w:link w:val="8"/>
    <w:semiHidden/>
    <w:qFormat/>
    <w:uiPriority w:val="99"/>
    <w:rPr>
      <w:rFonts w:ascii="Times New Roman" w:hAnsi="Times New Roman"/>
      <w:b/>
      <w:bCs/>
      <w:kern w:val="2"/>
      <w:sz w:val="21"/>
    </w:rPr>
  </w:style>
  <w:style w:type="character" w:customStyle="1" w:styleId="18">
    <w:name w:val="批注文字 字符"/>
    <w:link w:val="2"/>
    <w:semiHidden/>
    <w:qFormat/>
    <w:uiPriority w:val="99"/>
    <w:rPr>
      <w:rFonts w:ascii="Times New Roman" w:hAnsi="Times New Roman"/>
      <w:kern w:val="2"/>
      <w:sz w:val="21"/>
    </w:rPr>
  </w:style>
  <w:style w:type="character" w:customStyle="1" w:styleId="19">
    <w:name w:val="页眉 字符"/>
    <w:link w:val="5"/>
    <w:semiHidden/>
    <w:qFormat/>
    <w:uiPriority w:val="99"/>
    <w:rPr>
      <w:sz w:val="18"/>
      <w:szCs w:val="18"/>
    </w:rPr>
  </w:style>
  <w:style w:type="character" w:customStyle="1" w:styleId="20">
    <w:name w:val="HTML 预设格式 字符"/>
    <w:link w:val="6"/>
    <w:semiHidden/>
    <w:qFormat/>
    <w:uiPriority w:val="99"/>
    <w:rPr>
      <w:rFonts w:ascii="宋体" w:hAnsi="宋体" w:cs="宋体"/>
      <w:sz w:val="24"/>
      <w:szCs w:val="24"/>
    </w:rPr>
  </w:style>
  <w:style w:type="character" w:customStyle="1" w:styleId="21">
    <w:name w:val="页脚 字符"/>
    <w:link w:val="4"/>
    <w:qFormat/>
    <w:uiPriority w:val="99"/>
    <w:rPr>
      <w:sz w:val="18"/>
      <w:szCs w:val="1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1</Pages>
  <Words>2818</Words>
  <Characters>16066</Characters>
  <Lines>133</Lines>
  <Paragraphs>37</Paragraphs>
  <TotalTime>0</TotalTime>
  <ScaleCrop>false</ScaleCrop>
  <LinksUpToDate>false</LinksUpToDate>
  <CharactersWithSpaces>18847</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2022-01-07T08:50:00Z</dcterms:created>
  <dc:creator>陈浩01</dc:creator>
  <cp:lastModifiedBy>admin</cp:lastModifiedBy>
  <cp:lastPrinted>2022-01-07T07:48:00Z</cp:lastPrinted>
  <dcterms:modified xsi:type="dcterms:W3CDTF">2024-05-24T03:21:54Z</dcterms:modified>
  <dc:title>温州银行“金鹿理财-温盈”1号银行理财计划风险揭示书</dc:title>
  <cp:revision>19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E3F1EB67EA774718B453AA5B9B33BAA8</vt:lpwstr>
  </property>
</Properties>
</file>