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温州银行“金鹿理财-臻享”</w:t>
      </w:r>
      <w:r>
        <w:rPr>
          <w:rFonts w:hint="eastAsia" w:ascii="黑体" w:eastAsia="黑体"/>
          <w:color w:val="000000"/>
          <w:sz w:val="30"/>
          <w:szCs w:val="30"/>
          <w:u w:val="single"/>
          <w:lang w:val="en-US" w:eastAsia="zh-CN"/>
        </w:rPr>
        <w:t>24011</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rFonts w:hint="eastAsia"/>
          <w:color w:val="000000"/>
          <w:szCs w:val="21"/>
          <w:u w:val="single"/>
          <w:lang w:val="en-US" w:eastAsia="zh-CN"/>
        </w:rPr>
        <w:t>24011</w:t>
      </w:r>
      <w:r>
        <w:rPr>
          <w:rFonts w:hint="eastAsia"/>
          <w:szCs w:val="21"/>
          <w:u w:val="single"/>
        </w:rPr>
        <w:t>号</w:t>
      </w:r>
      <w:r>
        <w:rPr>
          <w:rFonts w:hint="eastAsia"/>
          <w:szCs w:val="21"/>
        </w:rPr>
        <w:t>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601</w:t>
      </w:r>
      <w:r>
        <w:rPr>
          <w:rFonts w:hint="eastAsia"/>
          <w:szCs w:val="21"/>
          <w:u w:val="single"/>
        </w:rPr>
        <w:t xml:space="preserve"> </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lang w:val="en-US" w:eastAsia="zh-CN"/>
        </w:rPr>
        <w:t>24011</w:t>
      </w:r>
      <w:r>
        <w:rPr>
          <w:rFonts w:hint="eastAsia"/>
          <w:color w:val="000000"/>
          <w:szCs w:val="21"/>
          <w:u w:val="single"/>
        </w:rPr>
        <w:t>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hint="eastAsia" w:ascii="宋体"/>
          <w:color w:val="000000"/>
          <w:szCs w:val="21"/>
          <w:u w:val="single"/>
          <w:lang w:val="en-US" w:eastAsia="zh-CN"/>
        </w:rPr>
        <w:t>24011</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hint="eastAsia" w:ascii="黑体" w:eastAsia="黑体"/>
          <w:bCs/>
          <w:color w:val="000000"/>
          <w:sz w:val="30"/>
          <w:szCs w:val="30"/>
          <w:u w:val="single"/>
          <w:lang w:val="en-US" w:eastAsia="zh-CN"/>
        </w:rPr>
        <w:t>24011</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臻享”24011号</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rFonts w:hint="eastAsia"/>
                <w:color w:val="000000"/>
                <w:sz w:val="18"/>
                <w:szCs w:val="18"/>
                <w:u w:val="single"/>
                <w:lang w:val="en-US" w:eastAsia="zh-CN"/>
              </w:rPr>
              <w:t>24011</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Z24011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color w:val="000000"/>
                <w:sz w:val="18"/>
                <w:szCs w:val="18"/>
                <w:lang w:val="en-US" w:eastAsia="zh-CN"/>
              </w:rPr>
            </w:pPr>
            <w:r>
              <w:rPr>
                <w:rFonts w:hint="eastAsia"/>
                <w:color w:val="000000"/>
                <w:sz w:val="18"/>
                <w:szCs w:val="18"/>
                <w:lang w:eastAsia="zh-Hans"/>
              </w:rPr>
              <w:t>C1092224A0000</w:t>
            </w:r>
            <w:r>
              <w:rPr>
                <w:rFonts w:hint="eastAsia"/>
                <w:color w:val="000000"/>
                <w:sz w:val="18"/>
                <w:szCs w:val="18"/>
                <w:lang w:val="en-US" w:eastAsia="zh-CN"/>
              </w:rPr>
              <w:t>11</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2024年6月12日</w:t>
            </w:r>
            <w:r>
              <w:rPr>
                <w:rFonts w:hint="eastAsia"/>
                <w:color w:val="000000"/>
                <w:sz w:val="18"/>
                <w:u w:val="single"/>
              </w:rPr>
              <w:t>至</w:t>
            </w:r>
            <w:r>
              <w:rPr>
                <w:rFonts w:hint="eastAsia"/>
                <w:color w:val="000000"/>
                <w:sz w:val="18"/>
                <w:u w:val="single"/>
                <w:lang w:val="en-US" w:eastAsia="zh-CN"/>
              </w:rPr>
              <w:t>2024年6月18日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u w:val="single"/>
                <w:lang w:val="en-US" w:eastAsia="zh-CN"/>
              </w:rPr>
              <w:t>2024年6月19日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color w:val="000000"/>
                <w:sz w:val="18"/>
                <w:szCs w:val="24"/>
                <w:u w:val="single"/>
                <w:lang w:val="en-US" w:eastAsia="zh-CN"/>
              </w:rPr>
            </w:pPr>
            <w:r>
              <w:rPr>
                <w:rFonts w:hint="eastAsia"/>
                <w:color w:val="000000"/>
                <w:sz w:val="18"/>
                <w:u w:val="single"/>
                <w:lang w:val="en-US" w:eastAsia="zh-CN"/>
              </w:rPr>
              <w:t>2026年2月10日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lang w:val="en-US" w:eastAsia="zh-CN"/>
              </w:rPr>
              <w:t>3.3%</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Cs w:val="21"/>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89"/>
        <w:gridCol w:w="5408"/>
        <w:gridCol w:w="1703"/>
      </w:tblGrid>
      <w:tr>
        <w:tblPrEx>
          <w:tblCellMar>
            <w:top w:w="0" w:type="dxa"/>
            <w:left w:w="108" w:type="dxa"/>
            <w:bottom w:w="0" w:type="dxa"/>
            <w:right w:w="108" w:type="dxa"/>
          </w:tblCellMar>
        </w:tblPrEx>
        <w:trPr>
          <w:trHeight w:val="270" w:hRule="atLeast"/>
          <w:jc w:val="center"/>
        </w:trPr>
        <w:tc>
          <w:tcPr>
            <w:tcW w:w="228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8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lang w:eastAsia="zh-CN"/>
        </w:rPr>
        <w:t>3.3%</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lang w:val="en-US" w:eastAsia="zh-CN"/>
        </w:rPr>
        <w:t>2026年2月10日</w:t>
      </w:r>
      <w:r>
        <w:rPr>
          <w:rFonts w:hint="eastAsia"/>
          <w:color w:val="000000"/>
          <w:sz w:val="18"/>
        </w:rPr>
        <w:t>，如遇国家金融政策出现重大调整并影响到本产品的正常运行或管理人有合理理由认为将影响本理财计划正常运作的</w:t>
      </w:r>
      <w:bookmarkStart w:id="0" w:name="_GoBack"/>
      <w:bookmarkEnd w:id="0"/>
      <w:r>
        <w:rPr>
          <w:rFonts w:hint="eastAsia"/>
          <w:color w:val="000000"/>
          <w:sz w:val="18"/>
        </w:rPr>
        <w:t>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lightGray"/>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3.3%</w:t>
      </w:r>
      <w:r>
        <w:rPr>
          <w:rFonts w:hint="eastAsia"/>
          <w:sz w:val="18"/>
          <w:szCs w:val="18"/>
        </w:rPr>
        <w:t>。到期时扣除托管费、销售服务费、固定管理费及其他费用（如有）后，如产品净值为</w:t>
      </w:r>
      <w:r>
        <w:rPr>
          <w:rFonts w:hint="eastAsia"/>
          <w:sz w:val="18"/>
          <w:szCs w:val="18"/>
          <w:lang w:eastAsia="zh-CN"/>
        </w:rPr>
        <w:t>1.06</w:t>
      </w:r>
      <w:r>
        <w:rPr>
          <w:rFonts w:hint="eastAsia"/>
          <w:sz w:val="18"/>
          <w:szCs w:val="18"/>
        </w:rPr>
        <w:t>，此时，(</w:t>
      </w:r>
      <w:r>
        <w:rPr>
          <w:rFonts w:hint="eastAsia"/>
          <w:sz w:val="18"/>
          <w:szCs w:val="18"/>
          <w:lang w:eastAsia="zh-CN"/>
        </w:rPr>
        <w:t>1.06</w:t>
      </w:r>
      <w:r>
        <w:rPr>
          <w:rFonts w:hint="eastAsia"/>
          <w:sz w:val="18"/>
          <w:szCs w:val="18"/>
        </w:rPr>
        <w:t>/1.00-1)×365/601=</w:t>
      </w:r>
      <w:r>
        <w:rPr>
          <w:rFonts w:hint="eastAsia"/>
          <w:sz w:val="18"/>
          <w:szCs w:val="18"/>
          <w:lang w:val="en-US" w:eastAsia="zh-CN"/>
        </w:rPr>
        <w:t>3.64</w:t>
      </w:r>
      <w:r>
        <w:rPr>
          <w:rFonts w:hint="eastAsia"/>
          <w:sz w:val="18"/>
          <w:szCs w:val="18"/>
        </w:rPr>
        <w:t>%&gt;</w:t>
      </w:r>
      <w:r>
        <w:rPr>
          <w:rFonts w:hint="eastAsia"/>
          <w:sz w:val="18"/>
          <w:szCs w:val="18"/>
          <w:lang w:eastAsia="zh-CN"/>
        </w:rPr>
        <w:t>3.3%</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1.06</w:t>
      </w:r>
      <w:r>
        <w:rPr>
          <w:rFonts w:hint="eastAsia"/>
          <w:sz w:val="18"/>
          <w:szCs w:val="18"/>
        </w:rPr>
        <w:t>-1.00×(1+</w:t>
      </w:r>
      <w:r>
        <w:rPr>
          <w:rFonts w:hint="eastAsia"/>
          <w:sz w:val="18"/>
          <w:szCs w:val="18"/>
          <w:lang w:eastAsia="zh-CN"/>
        </w:rPr>
        <w:t>3.3%</w:t>
      </w:r>
      <w:r>
        <w:rPr>
          <w:rFonts w:hint="eastAsia"/>
          <w:sz w:val="18"/>
          <w:szCs w:val="18"/>
        </w:rPr>
        <w:t>×601/365)]×80%=</w:t>
      </w:r>
      <w:r>
        <w:rPr>
          <w:rFonts w:hint="eastAsia"/>
          <w:sz w:val="18"/>
          <w:szCs w:val="18"/>
          <w:lang w:eastAsia="zh-CN"/>
        </w:rPr>
        <w:t>4530.41</w:t>
      </w:r>
      <w:r>
        <w:rPr>
          <w:rFonts w:hint="eastAsia"/>
          <w:sz w:val="18"/>
          <w:szCs w:val="18"/>
        </w:rPr>
        <w:t>（元）。扣除浮动管理费后，客户最终收益为：1,000,000.00×（</w:t>
      </w:r>
      <w:r>
        <w:rPr>
          <w:rFonts w:hint="eastAsia"/>
          <w:sz w:val="18"/>
          <w:szCs w:val="18"/>
          <w:lang w:eastAsia="zh-CN"/>
        </w:rPr>
        <w:t>1.06</w:t>
      </w:r>
      <w:r>
        <w:rPr>
          <w:rFonts w:hint="eastAsia"/>
          <w:sz w:val="18"/>
          <w:szCs w:val="18"/>
        </w:rPr>
        <w:t>-1.00）-</w:t>
      </w:r>
      <w:r>
        <w:rPr>
          <w:rFonts w:hint="eastAsia"/>
          <w:sz w:val="18"/>
          <w:szCs w:val="18"/>
          <w:lang w:eastAsia="zh-CN"/>
        </w:rPr>
        <w:t>4530.41</w:t>
      </w:r>
      <w:r>
        <w:rPr>
          <w:rFonts w:hint="eastAsia"/>
          <w:sz w:val="18"/>
          <w:szCs w:val="18"/>
        </w:rPr>
        <w:t>=</w:t>
      </w:r>
      <w:r>
        <w:rPr>
          <w:rFonts w:hint="eastAsia"/>
          <w:sz w:val="18"/>
          <w:szCs w:val="18"/>
          <w:lang w:eastAsia="zh-CN"/>
        </w:rPr>
        <w:t>55469.59</w:t>
      </w:r>
      <w:r>
        <w:rPr>
          <w:rFonts w:hint="eastAsia"/>
          <w:sz w:val="18"/>
          <w:szCs w:val="18"/>
        </w:rPr>
        <w:t>（元），产品到期时，客户获得的实际收益相当于达到年化收益率水平为：</w:t>
      </w:r>
      <w:r>
        <w:rPr>
          <w:rFonts w:hint="eastAsia"/>
          <w:sz w:val="18"/>
          <w:szCs w:val="18"/>
          <w:lang w:eastAsia="zh-CN"/>
        </w:rPr>
        <w:t>55469.59</w:t>
      </w:r>
      <w:r>
        <w:rPr>
          <w:rFonts w:hint="eastAsia"/>
          <w:sz w:val="18"/>
          <w:szCs w:val="18"/>
        </w:rPr>
        <w:t>/1,000,000.00×365/601=</w:t>
      </w:r>
      <w:r>
        <w:rPr>
          <w:rFonts w:hint="eastAsia"/>
          <w:sz w:val="18"/>
          <w:szCs w:val="18"/>
          <w:lang w:val="en-US" w:eastAsia="zh-CN"/>
        </w:rPr>
        <w:t>3.37</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3.3%</w:t>
      </w:r>
      <w:r>
        <w:rPr>
          <w:rFonts w:hint="eastAsia"/>
          <w:sz w:val="18"/>
          <w:szCs w:val="18"/>
        </w:rPr>
        <w:t>。到期时扣除托管费、销售服务费、固定管理费及其他费用（如有）后，如产品净值为1.0</w:t>
      </w:r>
      <w:r>
        <w:rPr>
          <w:rFonts w:hint="eastAsia"/>
          <w:sz w:val="18"/>
          <w:szCs w:val="18"/>
          <w:lang w:val="en-US" w:eastAsia="zh-CN"/>
        </w:rPr>
        <w:t>5</w:t>
      </w:r>
      <w:r>
        <w:rPr>
          <w:rFonts w:hint="eastAsia"/>
          <w:sz w:val="18"/>
          <w:szCs w:val="18"/>
        </w:rPr>
        <w:t>，此时，(1.0</w:t>
      </w:r>
      <w:r>
        <w:rPr>
          <w:rFonts w:hint="eastAsia"/>
          <w:sz w:val="18"/>
          <w:szCs w:val="18"/>
          <w:lang w:val="en-US" w:eastAsia="zh-CN"/>
        </w:rPr>
        <w:t>5</w:t>
      </w:r>
      <w:r>
        <w:rPr>
          <w:rFonts w:hint="eastAsia"/>
          <w:sz w:val="18"/>
          <w:szCs w:val="18"/>
        </w:rPr>
        <w:t>/1.00-1)×365/601=3.</w:t>
      </w:r>
      <w:r>
        <w:rPr>
          <w:rFonts w:hint="eastAsia"/>
          <w:sz w:val="18"/>
          <w:szCs w:val="18"/>
          <w:lang w:val="en-US" w:eastAsia="zh-CN"/>
        </w:rPr>
        <w:t>0</w:t>
      </w:r>
      <w:r>
        <w:rPr>
          <w:rFonts w:hint="eastAsia"/>
          <w:sz w:val="18"/>
          <w:szCs w:val="18"/>
        </w:rPr>
        <w:t>4%&lt;</w:t>
      </w:r>
      <w:r>
        <w:rPr>
          <w:rFonts w:hint="eastAsia"/>
          <w:sz w:val="18"/>
          <w:szCs w:val="18"/>
          <w:lang w:eastAsia="zh-CN"/>
        </w:rPr>
        <w:t>3.3%</w:t>
      </w:r>
      <w:r>
        <w:rPr>
          <w:rFonts w:hint="eastAsia"/>
          <w:sz w:val="18"/>
          <w:szCs w:val="18"/>
        </w:rPr>
        <w:t>，即投资收益未达到业绩比较基准，则投资管理人不收取浮动管理费，客户最终收益为：1,000,000.00×(1.0</w:t>
      </w:r>
      <w:r>
        <w:rPr>
          <w:rFonts w:hint="eastAsia"/>
          <w:sz w:val="18"/>
          <w:szCs w:val="18"/>
          <w:lang w:val="en-US" w:eastAsia="zh-CN"/>
        </w:rPr>
        <w:t>5</w:t>
      </w:r>
      <w:r>
        <w:rPr>
          <w:rFonts w:hint="eastAsia"/>
          <w:sz w:val="18"/>
          <w:szCs w:val="18"/>
        </w:rPr>
        <w:t>-1.00）=</w:t>
      </w:r>
      <w:r>
        <w:rPr>
          <w:rFonts w:hint="eastAsia"/>
          <w:sz w:val="18"/>
          <w:szCs w:val="18"/>
          <w:lang w:val="en-US" w:eastAsia="zh-CN"/>
        </w:rPr>
        <w:t>5</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3.3%</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ascii="宋体" w:hAnsi="宋体"/>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臻享”24011号</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hAnsi="宋体" w:cs="宋体"/>
        </w:rPr>
      </w:pPr>
      <w:r>
        <w:rPr>
          <w:rFonts w:hint="eastAsia" w:ascii="宋体" w:hAnsi="宋体"/>
          <w:szCs w:val="21"/>
        </w:rPr>
        <w:t xml:space="preserve">         投资者签章：                                 日期：</w:t>
      </w: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122A1"/>
    <w:rsid w:val="00E2610C"/>
    <w:rsid w:val="00F548A2"/>
    <w:rsid w:val="00F81FE4"/>
    <w:rsid w:val="00FE1D1B"/>
    <w:rsid w:val="00FE252F"/>
    <w:rsid w:val="00FF5DD6"/>
    <w:rsid w:val="020D5912"/>
    <w:rsid w:val="04523F21"/>
    <w:rsid w:val="04971F28"/>
    <w:rsid w:val="060F0B1F"/>
    <w:rsid w:val="06794E05"/>
    <w:rsid w:val="08EF38EC"/>
    <w:rsid w:val="09B16F1F"/>
    <w:rsid w:val="0AC90772"/>
    <w:rsid w:val="0BCD4D32"/>
    <w:rsid w:val="0DA90DFA"/>
    <w:rsid w:val="0E1D1495"/>
    <w:rsid w:val="0ED95908"/>
    <w:rsid w:val="14DB549B"/>
    <w:rsid w:val="15096838"/>
    <w:rsid w:val="190C6A15"/>
    <w:rsid w:val="1BB60D30"/>
    <w:rsid w:val="1DD91150"/>
    <w:rsid w:val="1FEFB915"/>
    <w:rsid w:val="20DB6550"/>
    <w:rsid w:val="22A04815"/>
    <w:rsid w:val="23535C37"/>
    <w:rsid w:val="26531D8B"/>
    <w:rsid w:val="26A745EE"/>
    <w:rsid w:val="275A751E"/>
    <w:rsid w:val="27697D3C"/>
    <w:rsid w:val="27EE5BCD"/>
    <w:rsid w:val="28DC3D9B"/>
    <w:rsid w:val="292C3FEB"/>
    <w:rsid w:val="2AFF68BE"/>
    <w:rsid w:val="2D1D2B95"/>
    <w:rsid w:val="2D6F4CA6"/>
    <w:rsid w:val="2EB7637B"/>
    <w:rsid w:val="2F7E1AF7"/>
    <w:rsid w:val="2FE766C5"/>
    <w:rsid w:val="31025CB3"/>
    <w:rsid w:val="313A7139"/>
    <w:rsid w:val="31AC46DA"/>
    <w:rsid w:val="320C3990"/>
    <w:rsid w:val="34B74934"/>
    <w:rsid w:val="37B32A93"/>
    <w:rsid w:val="39766FF2"/>
    <w:rsid w:val="3ABF4707"/>
    <w:rsid w:val="3B46D2A4"/>
    <w:rsid w:val="3C5374EE"/>
    <w:rsid w:val="3D1B017D"/>
    <w:rsid w:val="3DAD3B7D"/>
    <w:rsid w:val="3F044FE7"/>
    <w:rsid w:val="3FFF1548"/>
    <w:rsid w:val="4146226E"/>
    <w:rsid w:val="43712A5A"/>
    <w:rsid w:val="43B64733"/>
    <w:rsid w:val="4409550D"/>
    <w:rsid w:val="44456C0A"/>
    <w:rsid w:val="49E36230"/>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CE0023"/>
    <w:rsid w:val="61E21802"/>
    <w:rsid w:val="621362E3"/>
    <w:rsid w:val="621F1292"/>
    <w:rsid w:val="627B657A"/>
    <w:rsid w:val="636035E2"/>
    <w:rsid w:val="63DF9DEC"/>
    <w:rsid w:val="6A140818"/>
    <w:rsid w:val="6AD42CFC"/>
    <w:rsid w:val="6D15771F"/>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2142</Words>
  <Characters>12215</Characters>
  <Lines>101</Lines>
  <Paragraphs>28</Paragraphs>
  <TotalTime>30</TotalTime>
  <ScaleCrop>false</ScaleCrop>
  <LinksUpToDate>false</LinksUpToDate>
  <CharactersWithSpaces>14329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admin</cp:lastModifiedBy>
  <dcterms:modified xsi:type="dcterms:W3CDTF">2024-06-06T09:20:45Z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