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hint="eastAsia" w:ascii="黑体" w:eastAsia="黑体"/>
          <w:sz w:val="30"/>
          <w:szCs w:val="30"/>
          <w:highlight w:val="none"/>
        </w:rPr>
      </w:pPr>
      <w:bookmarkStart w:id="0" w:name="_GoBack"/>
      <w:bookmarkEnd w:id="0"/>
      <w:r>
        <w:rPr>
          <w:rFonts w:hint="eastAsia" w:ascii="黑体" w:eastAsia="黑体"/>
          <w:sz w:val="30"/>
          <w:szCs w:val="30"/>
          <w:highlight w:val="none"/>
        </w:rPr>
        <w:t>温州银行“金鹿理财-普惠盈周”</w:t>
      </w:r>
      <w:r>
        <w:rPr>
          <w:rFonts w:hint="eastAsia" w:ascii="黑体" w:eastAsia="黑体"/>
          <w:sz w:val="30"/>
          <w:szCs w:val="30"/>
          <w:highlight w:val="none"/>
          <w:u w:val="single"/>
        </w:rPr>
        <w:t>1</w:t>
      </w:r>
      <w:r>
        <w:rPr>
          <w:rFonts w:hint="eastAsia" w:ascii="黑体" w:eastAsia="黑体"/>
          <w:sz w:val="30"/>
          <w:szCs w:val="30"/>
          <w:highlight w:val="none"/>
        </w:rPr>
        <w:t>号</w:t>
      </w:r>
    </w:p>
    <w:p>
      <w:pPr>
        <w:spacing w:line="372" w:lineRule="auto"/>
        <w:jc w:val="center"/>
        <w:rPr>
          <w:rFonts w:ascii="宋体" w:hAnsi="宋体"/>
          <w:sz w:val="30"/>
          <w:szCs w:val="30"/>
          <w:highlight w:val="none"/>
        </w:rPr>
      </w:pPr>
      <w:r>
        <w:rPr>
          <w:rFonts w:hint="eastAsia" w:ascii="黑体" w:eastAsia="黑体"/>
          <w:sz w:val="30"/>
          <w:szCs w:val="30"/>
          <w:highlight w:val="none"/>
        </w:rPr>
        <w:t>开放式净值型银行理财计划风险揭示书</w:t>
      </w:r>
    </w:p>
    <w:p>
      <w:pPr>
        <w:adjustRightInd w:val="0"/>
        <w:snapToGrid w:val="0"/>
        <w:spacing w:before="240" w:line="322" w:lineRule="auto"/>
        <w:rPr>
          <w:rFonts w:ascii="宋体" w:hAnsi="宋体"/>
          <w:b/>
          <w:szCs w:val="21"/>
          <w:highlight w:val="none"/>
        </w:rPr>
      </w:pPr>
      <w:r>
        <w:rPr>
          <w:rFonts w:hint="eastAsia" w:ascii="宋体" w:hAnsi="宋体"/>
          <w:b/>
          <w:szCs w:val="21"/>
          <w:highlight w:val="none"/>
        </w:rPr>
        <w:t>尊敬的客户：</w:t>
      </w:r>
    </w:p>
    <w:p>
      <w:pPr>
        <w:adjustRightInd w:val="0"/>
        <w:snapToGrid w:val="0"/>
        <w:spacing w:line="319" w:lineRule="auto"/>
        <w:ind w:firstLine="420"/>
        <w:rPr>
          <w:rFonts w:ascii="宋体" w:hAnsi="宋体"/>
          <w:szCs w:val="21"/>
          <w:highlight w:val="none"/>
        </w:rPr>
      </w:pPr>
      <w:r>
        <w:rPr>
          <w:rFonts w:hint="eastAsia"/>
          <w:b/>
          <w:szCs w:val="21"/>
          <w:highlight w:val="none"/>
        </w:rPr>
        <w:t>理财非存款、产品有风险、测算收益不等于实际收益、投资须谨慎</w:t>
      </w:r>
      <w:r>
        <w:rPr>
          <w:rFonts w:hint="eastAsia" w:ascii="宋体" w:hAnsi="宋体"/>
          <w:szCs w:val="21"/>
          <w:highlight w:val="none"/>
        </w:rPr>
        <w:t>，请在购买该理财产品前特别注意以下事项：</w:t>
      </w:r>
    </w:p>
    <w:p>
      <w:pPr>
        <w:adjustRightInd w:val="0"/>
        <w:snapToGrid w:val="0"/>
        <w:spacing w:line="312" w:lineRule="auto"/>
        <w:ind w:firstLine="420"/>
        <w:rPr>
          <w:rFonts w:ascii="宋体" w:hAnsi="宋体"/>
          <w:b/>
          <w:bCs/>
          <w:szCs w:val="21"/>
          <w:highlight w:val="none"/>
        </w:rPr>
      </w:pPr>
      <w:r>
        <w:rPr>
          <w:rFonts w:hint="eastAsia" w:ascii="宋体" w:hAnsi="宋体"/>
          <w:szCs w:val="21"/>
          <w:highlight w:val="none"/>
        </w:rPr>
        <w:t>一、</w:t>
      </w:r>
      <w:r>
        <w:rPr>
          <w:rFonts w:hint="eastAsia"/>
          <w:szCs w:val="21"/>
          <w:highlight w:val="none"/>
        </w:rPr>
        <w:t>您将购买的温州银行“金鹿理财</w:t>
      </w:r>
      <w:r>
        <w:rPr>
          <w:rFonts w:hint="eastAsia" w:ascii="宋体" w:hAnsi="宋体"/>
          <w:szCs w:val="21"/>
          <w:highlight w:val="none"/>
        </w:rPr>
        <w:t>-</w:t>
      </w:r>
      <w:r>
        <w:rPr>
          <w:rFonts w:hint="eastAsia"/>
          <w:szCs w:val="21"/>
          <w:highlight w:val="none"/>
        </w:rPr>
        <w:t>普惠盈周”</w:t>
      </w:r>
      <w:r>
        <w:rPr>
          <w:rFonts w:hint="eastAsia"/>
          <w:szCs w:val="21"/>
          <w:highlight w:val="none"/>
          <w:u w:val="single"/>
        </w:rPr>
        <w:t>1</w:t>
      </w:r>
      <w:r>
        <w:rPr>
          <w:rFonts w:hint="eastAsia"/>
          <w:szCs w:val="21"/>
          <w:highlight w:val="none"/>
        </w:rPr>
        <w:t>号开放式净值型银行理财计划，投资类型属于</w:t>
      </w:r>
      <w:r>
        <w:rPr>
          <w:rFonts w:hint="eastAsia"/>
          <w:szCs w:val="21"/>
          <w:highlight w:val="none"/>
          <w:u w:val="single"/>
        </w:rPr>
        <w:t>固定收益类理财产品</w:t>
      </w:r>
      <w:r>
        <w:rPr>
          <w:rFonts w:hint="eastAsia"/>
          <w:szCs w:val="21"/>
          <w:highlight w:val="none"/>
        </w:rPr>
        <w:t>，运作模式为</w:t>
      </w:r>
      <w:r>
        <w:rPr>
          <w:rFonts w:hint="eastAsia"/>
          <w:szCs w:val="21"/>
          <w:highlight w:val="none"/>
          <w:u w:val="single"/>
        </w:rPr>
        <w:t>开放式净值型</w:t>
      </w:r>
      <w:r>
        <w:rPr>
          <w:rFonts w:hint="eastAsia"/>
          <w:szCs w:val="21"/>
          <w:highlight w:val="none"/>
        </w:rPr>
        <w:t>，在产品存续期内不定期（产品工作日）开放资金认购、申购及赎回。根据温</w:t>
      </w:r>
      <w:r>
        <w:rPr>
          <w:rFonts w:hint="eastAsia" w:ascii="宋体" w:hAnsi="宋体"/>
          <w:szCs w:val="21"/>
          <w:highlight w:val="none"/>
        </w:rPr>
        <w:t>州银行内部风险评级标准，该产品的风险等级为</w:t>
      </w:r>
      <w:r>
        <w:rPr>
          <w:rFonts w:hint="eastAsia" w:ascii="宋体" w:hAnsi="宋体"/>
          <w:szCs w:val="21"/>
          <w:highlight w:val="none"/>
          <w:u w:val="single"/>
        </w:rPr>
        <w:t>PR2级</w:t>
      </w:r>
      <w:r>
        <w:rPr>
          <w:rFonts w:hint="eastAsia" w:ascii="宋体" w:hAnsi="宋体"/>
          <w:szCs w:val="21"/>
          <w:highlight w:val="none"/>
        </w:rPr>
        <w:t>（稳健型）：总体风险程度较低，银行不承诺本金保障但本金损失可能性很小，产品收益随投资表现变动。本理财产品适合客户：经温州银行评估为稳健型、平衡型、进取型、激进型的个人投资者</w:t>
      </w:r>
      <w:r>
        <w:rPr>
          <w:rFonts w:hint="eastAsia" w:ascii="宋体" w:hAnsi="宋体"/>
          <w:szCs w:val="21"/>
          <w:highlight w:val="none"/>
          <w:lang w:eastAsia="zh-CN"/>
        </w:rPr>
        <w:t>，</w:t>
      </w:r>
      <w:r>
        <w:rPr>
          <w:rFonts w:hint="eastAsia" w:ascii="宋体" w:hAnsi="宋体"/>
          <w:szCs w:val="21"/>
          <w:highlight w:val="none"/>
          <w:lang w:val="en-US" w:eastAsia="zh-CN"/>
        </w:rPr>
        <w:t>以及机构投资者</w:t>
      </w:r>
      <w:r>
        <w:rPr>
          <w:rFonts w:hint="eastAsia" w:ascii="宋体" w:hAnsi="宋体"/>
          <w:szCs w:val="21"/>
          <w:highlight w:val="none"/>
        </w:rPr>
        <w:t>。</w:t>
      </w:r>
      <w:r>
        <w:rPr>
          <w:rFonts w:hint="eastAsia" w:ascii="宋体" w:hAnsi="宋体"/>
          <w:b/>
          <w:bCs/>
          <w:szCs w:val="21"/>
          <w:highlight w:val="none"/>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highlight w:val="none"/>
        </w:rPr>
      </w:pPr>
      <w:r>
        <w:rPr>
          <w:rFonts w:hint="eastAsia" w:ascii="宋体" w:hAnsi="宋体"/>
          <w:szCs w:val="21"/>
          <w:highlight w:val="none"/>
        </w:rPr>
        <w:t>二、温州银行将按照理财合约和产品说明书等文件约定之条件进行理财资金的投资管理，在运作管理过程中，将可能存在管理风险、政策风险、市场风险、早偿风险、</w:t>
      </w:r>
      <w:r>
        <w:rPr>
          <w:rFonts w:ascii="宋体" w:hAnsi="宋体"/>
          <w:szCs w:val="21"/>
          <w:highlight w:val="none"/>
        </w:rPr>
        <w:t>信用风险</w:t>
      </w:r>
      <w:r>
        <w:rPr>
          <w:rFonts w:hint="eastAsia" w:ascii="宋体" w:hAnsi="宋体"/>
          <w:szCs w:val="21"/>
          <w:highlight w:val="none"/>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highlight w:val="none"/>
        </w:rPr>
      </w:pPr>
      <w:r>
        <w:rPr>
          <w:rFonts w:hint="eastAsia" w:ascii="宋体" w:hAnsi="宋体"/>
          <w:szCs w:val="21"/>
          <w:highlight w:val="none"/>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highlight w:val="none"/>
        </w:rPr>
      </w:pPr>
      <w:r>
        <w:rPr>
          <w:rFonts w:hint="eastAsia" w:ascii="宋体" w:hAnsi="宋体"/>
          <w:szCs w:val="21"/>
          <w:highlight w:val="none"/>
        </w:rPr>
        <w:t>三、本风险揭示书及《温州银行“金鹿理财-普惠盈周”1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盈周”1号开放式净值型银行理财计划产品说明书》和《</w:t>
      </w:r>
      <w:r>
        <w:rPr>
          <w:rFonts w:ascii="宋体" w:hAnsi="宋体"/>
          <w:szCs w:val="21"/>
          <w:highlight w:val="none"/>
        </w:rPr>
        <w:t>温州银行理财产品投资者权益须知</w:t>
      </w:r>
      <w:r>
        <w:rPr>
          <w:rFonts w:hint="eastAsia" w:ascii="宋体" w:hAnsi="宋体"/>
          <w:szCs w:val="21"/>
          <w:highlight w:val="none"/>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highlight w:val="none"/>
        </w:rPr>
      </w:pPr>
      <w:r>
        <w:rPr>
          <w:rFonts w:hint="eastAsia" w:ascii="宋体" w:hAnsi="宋体"/>
          <w:szCs w:val="21"/>
          <w:highlight w:val="none"/>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highlight w:val="none"/>
        </w:rPr>
      </w:pPr>
      <w:r>
        <w:rPr>
          <w:rFonts w:hint="eastAsia" w:ascii="宋体" w:hAnsi="宋体"/>
          <w:szCs w:val="21"/>
          <w:highlight w:val="none"/>
        </w:rPr>
        <w:t>风险揭示方：温州银行股份有限公司</w:t>
      </w:r>
    </w:p>
    <w:p>
      <w:pPr>
        <w:adjustRightInd w:val="0"/>
        <w:snapToGrid w:val="0"/>
        <w:spacing w:before="240" w:line="312" w:lineRule="auto"/>
        <w:jc w:val="center"/>
        <w:rPr>
          <w:rFonts w:ascii="宋体" w:hAnsi="宋体"/>
          <w:b/>
          <w:sz w:val="28"/>
          <w:szCs w:val="28"/>
          <w:highlight w:val="none"/>
        </w:rPr>
      </w:pPr>
      <w:r>
        <w:rPr>
          <w:rFonts w:hint="eastAsia" w:ascii="宋体" w:hAnsi="宋体"/>
          <w:b/>
          <w:sz w:val="28"/>
          <w:szCs w:val="28"/>
          <w:highlight w:val="none"/>
        </w:rPr>
        <w:t>客户确认栏</w:t>
      </w:r>
    </w:p>
    <w:p>
      <w:pPr>
        <w:adjustRightInd w:val="0"/>
        <w:snapToGrid w:val="0"/>
        <w:spacing w:line="312" w:lineRule="auto"/>
        <w:rPr>
          <w:b/>
          <w:szCs w:val="21"/>
          <w:highlight w:val="none"/>
        </w:rPr>
      </w:pPr>
      <w:r>
        <w:rPr>
          <w:rFonts w:hint="eastAsia"/>
          <w:b/>
          <w:szCs w:val="21"/>
          <w:highlight w:val="none"/>
        </w:rPr>
        <w:t>本人经温州银行评估的风险承受能力等级为（仅个人客户填写）：</w:t>
      </w:r>
    </w:p>
    <w:p>
      <w:pPr>
        <w:adjustRightInd w:val="0"/>
        <w:snapToGrid w:val="0"/>
        <w:spacing w:line="312" w:lineRule="auto"/>
        <w:ind w:firstLine="315" w:firstLineChars="150"/>
        <w:rPr>
          <w:rFonts w:ascii="宋体" w:hAnsi="宋体"/>
          <w:szCs w:val="21"/>
          <w:highlight w:val="none"/>
          <w:u w:val="single"/>
        </w:rPr>
      </w:pPr>
      <w:r>
        <w:rPr>
          <w:rFonts w:hint="eastAsia" w:ascii="宋体" w:hAnsi="宋体"/>
          <w:szCs w:val="21"/>
          <w:highlight w:val="none"/>
          <w:u w:val="single"/>
        </w:rPr>
        <w:t>□保守型           □稳健型           □平衡型           □进取型          □激进型</w:t>
      </w:r>
    </w:p>
    <w:p>
      <w:pPr>
        <w:adjustRightInd w:val="0"/>
        <w:snapToGrid w:val="0"/>
        <w:spacing w:line="312" w:lineRule="auto"/>
        <w:rPr>
          <w:rFonts w:ascii="宋体" w:hAnsi="宋体"/>
          <w:b/>
          <w:szCs w:val="21"/>
          <w:highlight w:val="none"/>
        </w:rPr>
      </w:pPr>
      <w:r>
        <w:rPr>
          <w:rFonts w:hint="eastAsia" w:ascii="宋体" w:hAnsi="宋体"/>
          <w:b/>
          <w:szCs w:val="21"/>
          <w:highlight w:val="none"/>
        </w:rPr>
        <w:t>本人</w:t>
      </w:r>
      <w:r>
        <w:rPr>
          <w:rFonts w:hint="eastAsia"/>
          <w:b/>
          <w:szCs w:val="21"/>
          <w:highlight w:val="none"/>
        </w:rPr>
        <w:t>/本机构</w:t>
      </w:r>
      <w:r>
        <w:rPr>
          <w:rFonts w:hint="eastAsia" w:ascii="宋体" w:hAnsi="宋体"/>
          <w:b/>
          <w:szCs w:val="21"/>
          <w:highlight w:val="none"/>
        </w:rPr>
        <w:t>同时确认如下：</w:t>
      </w:r>
      <w:r>
        <w:rPr>
          <w:rFonts w:hint="eastAsia" w:ascii="宋体" w:hAnsi="宋体"/>
          <w:b/>
          <w:szCs w:val="21"/>
          <w:highlight w:val="none"/>
          <w:u w:val="single"/>
        </w:rPr>
        <w:t xml:space="preserve">                                                                    </w:t>
      </w:r>
    </w:p>
    <w:p>
      <w:pPr>
        <w:adjustRightInd w:val="0"/>
        <w:snapToGrid w:val="0"/>
        <w:spacing w:line="312" w:lineRule="auto"/>
        <w:rPr>
          <w:b/>
          <w:szCs w:val="21"/>
          <w:highlight w:val="none"/>
        </w:rPr>
      </w:pPr>
      <w:r>
        <w:rPr>
          <w:rFonts w:hint="eastAsia"/>
          <w:b/>
          <w:szCs w:val="21"/>
          <w:highlight w:val="none"/>
          <w:u w:val="single"/>
        </w:rPr>
        <w:t xml:space="preserve">                                                                                 </w:t>
      </w:r>
      <w:r>
        <w:rPr>
          <w:rFonts w:hint="eastAsia"/>
          <w:szCs w:val="21"/>
          <w:highlight w:val="none"/>
        </w:rPr>
        <w:t>。</w:t>
      </w:r>
    </w:p>
    <w:p>
      <w:pPr>
        <w:adjustRightInd w:val="0"/>
        <w:snapToGrid w:val="0"/>
        <w:spacing w:line="312" w:lineRule="auto"/>
        <w:rPr>
          <w:szCs w:val="21"/>
          <w:highlight w:val="none"/>
        </w:rPr>
      </w:pPr>
      <w:r>
        <w:rPr>
          <w:rFonts w:hint="eastAsia"/>
          <w:szCs w:val="21"/>
          <w:highlight w:val="none"/>
        </w:rPr>
        <w:t>（客户需全文抄录以下文字以完成确认：“</w:t>
      </w:r>
      <w:r>
        <w:rPr>
          <w:rFonts w:hint="eastAsia"/>
          <w:b/>
          <w:szCs w:val="21"/>
          <w:highlight w:val="none"/>
        </w:rPr>
        <w:t>本人/本机构已经阅读上述风险提示，愿意承担投资风险</w:t>
      </w:r>
      <w:r>
        <w:rPr>
          <w:rFonts w:hint="eastAsia"/>
          <w:szCs w:val="21"/>
          <w:highlight w:val="none"/>
        </w:rPr>
        <w:t>”。）</w:t>
      </w:r>
    </w:p>
    <w:p>
      <w:pPr>
        <w:adjustRightInd w:val="0"/>
        <w:snapToGrid w:val="0"/>
        <w:spacing w:line="312" w:lineRule="auto"/>
        <w:jc w:val="left"/>
        <w:rPr>
          <w:rFonts w:hint="eastAsia" w:ascii="宋体" w:hAnsi="宋体"/>
          <w:szCs w:val="21"/>
          <w:highlight w:val="none"/>
        </w:rPr>
      </w:pPr>
      <w:r>
        <w:rPr>
          <w:rFonts w:hint="eastAsia" w:ascii="宋体" w:hAnsi="宋体"/>
          <w:szCs w:val="21"/>
          <w:highlight w:val="none"/>
        </w:rPr>
        <w:t>个人投资者（签字）：</w:t>
      </w:r>
    </w:p>
    <w:p>
      <w:pPr>
        <w:adjustRightInd w:val="0"/>
        <w:snapToGrid w:val="0"/>
        <w:spacing w:line="312" w:lineRule="auto"/>
        <w:jc w:val="left"/>
        <w:rPr>
          <w:rFonts w:hint="eastAsia" w:ascii="宋体" w:hAnsi="宋体"/>
          <w:szCs w:val="21"/>
          <w:highlight w:val="none"/>
        </w:rPr>
      </w:pPr>
      <w:r>
        <w:rPr>
          <w:rFonts w:hint="eastAsia" w:ascii="宋体" w:hAnsi="宋体"/>
          <w:szCs w:val="21"/>
          <w:highlight w:val="none"/>
        </w:rPr>
        <w:t>机构投资者（盖章）：</w:t>
      </w:r>
    </w:p>
    <w:p>
      <w:pPr>
        <w:adjustRightInd w:val="0"/>
        <w:snapToGrid w:val="0"/>
        <w:spacing w:line="312" w:lineRule="auto"/>
        <w:jc w:val="left"/>
        <w:rPr>
          <w:rFonts w:hint="eastAsia" w:ascii="宋体" w:hAnsi="宋体"/>
          <w:szCs w:val="21"/>
          <w:highlight w:val="none"/>
        </w:rPr>
      </w:pPr>
      <w:r>
        <w:rPr>
          <w:rFonts w:hint="eastAsia" w:ascii="宋体" w:hAnsi="宋体"/>
          <w:szCs w:val="21"/>
          <w:highlight w:val="none"/>
        </w:rPr>
        <w:t xml:space="preserve">机构投资者法定代表人或授权代表（签名或盖章）：                            </w:t>
      </w:r>
    </w:p>
    <w:p>
      <w:pPr>
        <w:adjustRightInd w:val="0"/>
        <w:snapToGrid w:val="0"/>
        <w:spacing w:line="312" w:lineRule="auto"/>
        <w:jc w:val="right"/>
        <w:rPr>
          <w:rFonts w:hint="eastAsia" w:ascii="宋体" w:hAnsi="宋体"/>
          <w:szCs w:val="21"/>
          <w:highlight w:val="none"/>
        </w:rPr>
      </w:pPr>
      <w:r>
        <w:rPr>
          <w:rFonts w:hint="eastAsia" w:ascii="宋体" w:hAnsi="宋体"/>
          <w:szCs w:val="21"/>
          <w:highlight w:val="none"/>
        </w:rPr>
        <w:t>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pPr>
        <w:adjustRightInd w:val="0"/>
        <w:snapToGrid w:val="0"/>
        <w:spacing w:line="322" w:lineRule="auto"/>
        <w:jc w:val="center"/>
        <w:rPr>
          <w:rFonts w:hint="eastAsia" w:ascii="黑体" w:eastAsia="黑体"/>
          <w:sz w:val="30"/>
          <w:szCs w:val="30"/>
          <w:highlight w:val="none"/>
        </w:rPr>
      </w:pPr>
      <w:r>
        <w:rPr>
          <w:rFonts w:hint="eastAsia" w:ascii="黑体" w:eastAsia="黑体"/>
          <w:sz w:val="30"/>
          <w:szCs w:val="30"/>
          <w:highlight w:val="none"/>
        </w:rPr>
        <w:t>温州银行“金鹿理财-普惠盈周”</w:t>
      </w:r>
      <w:r>
        <w:rPr>
          <w:rFonts w:hint="eastAsia" w:ascii="黑体" w:eastAsia="黑体"/>
          <w:sz w:val="30"/>
          <w:szCs w:val="30"/>
          <w:highlight w:val="none"/>
          <w:u w:val="single"/>
        </w:rPr>
        <w:t>1</w:t>
      </w:r>
      <w:r>
        <w:rPr>
          <w:rFonts w:hint="eastAsia" w:ascii="黑体" w:eastAsia="黑体"/>
          <w:sz w:val="30"/>
          <w:szCs w:val="30"/>
          <w:highlight w:val="none"/>
        </w:rPr>
        <w:t>号</w:t>
      </w:r>
    </w:p>
    <w:p>
      <w:pPr>
        <w:spacing w:line="372" w:lineRule="auto"/>
        <w:jc w:val="center"/>
        <w:rPr>
          <w:rFonts w:ascii="黑体" w:eastAsia="黑体"/>
          <w:bCs/>
          <w:sz w:val="30"/>
          <w:szCs w:val="30"/>
          <w:highlight w:val="none"/>
        </w:rPr>
      </w:pPr>
      <w:r>
        <w:rPr>
          <w:rFonts w:hint="eastAsia" w:ascii="黑体" w:eastAsia="黑体"/>
          <w:sz w:val="30"/>
          <w:szCs w:val="30"/>
          <w:highlight w:val="none"/>
        </w:rPr>
        <w:t>开放式净值型</w:t>
      </w:r>
      <w:r>
        <w:rPr>
          <w:rFonts w:hint="eastAsia" w:ascii="黑体" w:eastAsia="黑体"/>
          <w:bCs/>
          <w:sz w:val="30"/>
          <w:szCs w:val="30"/>
          <w:highlight w:val="none"/>
        </w:rPr>
        <w:t>银行理财计划产品说明书</w:t>
      </w:r>
    </w:p>
    <w:p>
      <w:pPr>
        <w:adjustRightInd w:val="0"/>
        <w:snapToGrid w:val="0"/>
        <w:spacing w:before="120" w:line="288" w:lineRule="auto"/>
        <w:rPr>
          <w:b/>
          <w:sz w:val="18"/>
          <w:szCs w:val="18"/>
          <w:highlight w:val="none"/>
        </w:rPr>
      </w:pPr>
      <w:r>
        <w:rPr>
          <w:rFonts w:hint="eastAsia"/>
          <w:b/>
          <w:sz w:val="18"/>
          <w:szCs w:val="18"/>
          <w:highlight w:val="none"/>
        </w:rPr>
        <w:t>重要须知</w:t>
      </w:r>
    </w:p>
    <w:p>
      <w:pPr>
        <w:adjustRightInd w:val="0"/>
        <w:snapToGrid w:val="0"/>
        <w:spacing w:line="288" w:lineRule="auto"/>
        <w:rPr>
          <w:sz w:val="18"/>
          <w:szCs w:val="18"/>
          <w:highlight w:val="none"/>
        </w:rPr>
      </w:pPr>
      <w:r>
        <w:rPr>
          <w:rFonts w:hint="eastAsia"/>
          <w:sz w:val="18"/>
          <w:szCs w:val="18"/>
          <w:highlight w:val="none"/>
        </w:rPr>
        <w:t>本产品与银行存款存在明显区别，具有一定的风险。</w:t>
      </w:r>
    </w:p>
    <w:p>
      <w:pPr>
        <w:adjustRightInd w:val="0"/>
        <w:snapToGrid w:val="0"/>
        <w:spacing w:line="288" w:lineRule="auto"/>
        <w:rPr>
          <w:sz w:val="18"/>
          <w:szCs w:val="18"/>
          <w:highlight w:val="none"/>
        </w:rPr>
      </w:pPr>
      <w:r>
        <w:rPr>
          <w:rFonts w:hint="eastAsia"/>
          <w:sz w:val="18"/>
          <w:szCs w:val="18"/>
          <w:highlight w:val="none"/>
        </w:rPr>
        <w:t>本产品适合于无投资经验投资者和有投资经验投资者。</w:t>
      </w:r>
    </w:p>
    <w:p>
      <w:pPr>
        <w:adjustRightInd w:val="0"/>
        <w:snapToGrid w:val="0"/>
        <w:spacing w:line="288" w:lineRule="auto"/>
        <w:rPr>
          <w:rFonts w:hint="eastAsia"/>
          <w:b/>
          <w:sz w:val="18"/>
          <w:szCs w:val="18"/>
          <w:highlight w:val="none"/>
        </w:rPr>
      </w:pPr>
      <w:r>
        <w:rPr>
          <w:b/>
          <w:sz w:val="18"/>
          <w:szCs w:val="18"/>
          <w:highlight w:val="none"/>
        </w:rPr>
        <w:t xml:space="preserve">*** </w:t>
      </w:r>
      <w:r>
        <w:rPr>
          <w:rFonts w:hint="eastAsia"/>
          <w:b/>
          <w:sz w:val="18"/>
          <w:szCs w:val="18"/>
          <w:highlight w:val="none"/>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highlight w:val="none"/>
        </w:rPr>
      </w:pPr>
      <w:r>
        <w:rPr>
          <w:rFonts w:hint="eastAsia"/>
          <w:b/>
          <w:sz w:val="18"/>
          <w:szCs w:val="18"/>
          <w:highlight w:val="none"/>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highlight w:val="none"/>
        </w:rPr>
      </w:pPr>
      <w:r>
        <w:rPr>
          <w:rFonts w:hint="eastAsia"/>
          <w:sz w:val="18"/>
          <w:szCs w:val="18"/>
          <w:highlight w:val="none"/>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highlight w:val="none"/>
        </w:rPr>
      </w:pPr>
      <w:r>
        <w:rPr>
          <w:rFonts w:hint="eastAsia"/>
          <w:sz w:val="18"/>
          <w:szCs w:val="18"/>
          <w:highlight w:val="none"/>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highlight w:val="none"/>
        </w:rPr>
        <w:t>0577-96699</w:t>
      </w:r>
      <w:r>
        <w:rPr>
          <w:rFonts w:hint="eastAsia"/>
          <w:sz w:val="18"/>
          <w:szCs w:val="18"/>
          <w:highlight w:val="none"/>
        </w:rPr>
        <w:t>）。</w:t>
      </w:r>
    </w:p>
    <w:p>
      <w:pPr>
        <w:adjustRightInd w:val="0"/>
        <w:snapToGrid w:val="0"/>
        <w:spacing w:line="288" w:lineRule="auto"/>
        <w:rPr>
          <w:b/>
          <w:sz w:val="18"/>
          <w:szCs w:val="18"/>
          <w:highlight w:val="none"/>
        </w:rPr>
      </w:pPr>
      <w:r>
        <w:rPr>
          <w:rFonts w:hint="eastAsia"/>
          <w:b/>
          <w:sz w:val="18"/>
          <w:szCs w:val="18"/>
          <w:highlight w:val="none"/>
        </w:rPr>
        <w:t>释义</w:t>
      </w:r>
    </w:p>
    <w:p>
      <w:pPr>
        <w:adjustRightInd w:val="0"/>
        <w:snapToGrid w:val="0"/>
        <w:spacing w:line="288" w:lineRule="auto"/>
        <w:rPr>
          <w:sz w:val="18"/>
          <w:szCs w:val="18"/>
          <w:highlight w:val="none"/>
        </w:rPr>
      </w:pPr>
      <w:r>
        <w:rPr>
          <w:rFonts w:hint="eastAsia"/>
          <w:sz w:val="18"/>
          <w:szCs w:val="18"/>
          <w:highlight w:val="none"/>
        </w:rPr>
        <w:t>本说明书中，除非另有明确说明，否则下列词语或简称具有如下含义：</w:t>
      </w:r>
    </w:p>
    <w:p>
      <w:pPr>
        <w:adjustRightInd w:val="0"/>
        <w:snapToGrid w:val="0"/>
        <w:spacing w:line="288" w:lineRule="auto"/>
        <w:rPr>
          <w:sz w:val="18"/>
          <w:szCs w:val="18"/>
          <w:highlight w:val="none"/>
        </w:rPr>
      </w:pPr>
      <w:r>
        <w:rPr>
          <w:rFonts w:hint="eastAsia"/>
          <w:sz w:val="18"/>
          <w:szCs w:val="18"/>
          <w:highlight w:val="none"/>
        </w:rPr>
        <w:t>产品：指“金鹿理财</w:t>
      </w:r>
      <w:r>
        <w:rPr>
          <w:rFonts w:hint="eastAsia" w:ascii="宋体" w:hAnsi="宋体"/>
          <w:sz w:val="18"/>
          <w:szCs w:val="18"/>
          <w:highlight w:val="none"/>
        </w:rPr>
        <w:t>-</w:t>
      </w:r>
      <w:r>
        <w:rPr>
          <w:rFonts w:hint="eastAsia"/>
          <w:sz w:val="18"/>
          <w:szCs w:val="18"/>
          <w:highlight w:val="none"/>
        </w:rPr>
        <w:t>普惠盈周”1号开放式净值型银行理财计划</w:t>
      </w:r>
    </w:p>
    <w:p>
      <w:pPr>
        <w:adjustRightInd w:val="0"/>
        <w:snapToGrid w:val="0"/>
        <w:spacing w:line="288" w:lineRule="auto"/>
        <w:rPr>
          <w:sz w:val="18"/>
          <w:szCs w:val="18"/>
          <w:highlight w:val="none"/>
        </w:rPr>
      </w:pPr>
      <w:r>
        <w:rPr>
          <w:rFonts w:hint="eastAsia"/>
          <w:sz w:val="18"/>
          <w:szCs w:val="18"/>
          <w:highlight w:val="none"/>
        </w:rPr>
        <w:t>发行银行：指温州银行股份有限公司</w:t>
      </w:r>
    </w:p>
    <w:p>
      <w:pPr>
        <w:adjustRightInd w:val="0"/>
        <w:snapToGrid w:val="0"/>
        <w:spacing w:line="288" w:lineRule="auto"/>
        <w:rPr>
          <w:sz w:val="18"/>
          <w:szCs w:val="18"/>
          <w:highlight w:val="none"/>
        </w:rPr>
      </w:pPr>
      <w:r>
        <w:rPr>
          <w:rFonts w:hint="eastAsia"/>
          <w:sz w:val="18"/>
          <w:szCs w:val="18"/>
          <w:highlight w:val="none"/>
        </w:rPr>
        <w:t>产品托管人：具有证券投资基金托管业务资格的商业银行</w:t>
      </w:r>
    </w:p>
    <w:p>
      <w:pPr>
        <w:adjustRightInd w:val="0"/>
        <w:snapToGrid w:val="0"/>
        <w:spacing w:line="288" w:lineRule="auto"/>
        <w:rPr>
          <w:sz w:val="18"/>
          <w:szCs w:val="18"/>
          <w:highlight w:val="none"/>
        </w:rPr>
      </w:pPr>
      <w:r>
        <w:rPr>
          <w:rFonts w:hint="eastAsia"/>
          <w:sz w:val="18"/>
          <w:szCs w:val="18"/>
          <w:highlight w:val="none"/>
        </w:rPr>
        <w:t>销售银行：指直销银行和代销银行。直销银行指温州银行股份有限公司。本产品无代销银行。</w:t>
      </w:r>
    </w:p>
    <w:p>
      <w:pPr>
        <w:widowControl/>
        <w:adjustRightInd w:val="0"/>
        <w:snapToGrid w:val="0"/>
        <w:spacing w:line="300" w:lineRule="auto"/>
        <w:outlineLvl w:val="0"/>
        <w:rPr>
          <w:b/>
          <w:sz w:val="18"/>
          <w:szCs w:val="18"/>
          <w:highlight w:val="none"/>
        </w:rPr>
      </w:pPr>
      <w:r>
        <w:rPr>
          <w:rFonts w:hint="eastAsia"/>
          <w:b/>
          <w:sz w:val="18"/>
          <w:szCs w:val="18"/>
          <w:highlight w:val="none"/>
        </w:rPr>
        <w:t>产品风险评级：PR2</w:t>
      </w:r>
    </w:p>
    <w:p>
      <w:pPr>
        <w:widowControl/>
        <w:adjustRightInd w:val="0"/>
        <w:snapToGrid w:val="0"/>
        <w:spacing w:line="300" w:lineRule="auto"/>
        <w:outlineLvl w:val="0"/>
        <w:rPr>
          <w:b/>
          <w:sz w:val="18"/>
          <w:szCs w:val="18"/>
          <w:highlight w:val="none"/>
        </w:rPr>
      </w:pPr>
    </w:p>
    <w:tbl>
      <w:tblPr>
        <w:tblStyle w:val="7"/>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PR5</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PR4</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PR3</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PR2</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PR1</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谨慎型产品</w:t>
            </w:r>
          </w:p>
        </w:tc>
      </w:tr>
    </w:tbl>
    <w:p>
      <w:pPr>
        <w:widowControl/>
        <w:adjustRightInd w:val="0"/>
        <w:snapToGrid w:val="0"/>
        <w:spacing w:line="300" w:lineRule="auto"/>
        <w:outlineLvl w:val="0"/>
        <w:rPr>
          <w:b/>
          <w:sz w:val="18"/>
          <w:szCs w:val="18"/>
          <w:highlight w:val="none"/>
        </w:rPr>
      </w:pPr>
      <w:r>
        <w:rPr>
          <w:b/>
          <w:sz w:val="18"/>
          <w:szCs w:val="18"/>
          <w:highlight w:val="none"/>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2" name="文本框 1"/>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pPr>
                              <w:jc w:val="center"/>
                            </w:pPr>
                            <w:r>
                              <w:rPr>
                                <w:rFonts w:hint="eastAsia"/>
                              </w:rPr>
                              <w:t>收益水平</w:t>
                            </w:r>
                          </w:p>
                          <w:p/>
                        </w:txbxContent>
                      </wps:txbx>
                      <wps:bodyPr vert="eaVert" upright="1"/>
                    </wps:wsp>
                  </a:graphicData>
                </a:graphic>
              </wp:anchor>
            </w:drawing>
          </mc:Choice>
          <mc:Fallback>
            <w:pict>
              <v:shape id="文本框 1"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BJ&#10;6N7M2QAAAAgBAAAPAAAAAAAAAAEAIAAAACIAAABkcnMvZG93bnJldi54bWxQSwECFAAUAAAACACH&#10;TuJAmVu7d7EBAABFAwAADgAAAAAAAAABACAAAAAoAQAAZHJzL2Uyb0RvYy54bWxQSwUGAAAAAAYA&#10;BgBZAQAASwUAAAAA&#10;">
                <v:fill on="t" focussize="0,0"/>
                <v:stroke on="f"/>
                <v:imagedata o:title=""/>
                <o:lock v:ext="edit" aspectratio="f"/>
                <v:textbox style="layout-flow:vertical-ideographic;">
                  <w:txbxContent>
                    <w:p>
                      <w:pPr>
                        <w:jc w:val="center"/>
                      </w:pPr>
                      <w:r>
                        <w:rPr>
                          <w:rFonts w:hint="eastAsia"/>
                        </w:rPr>
                        <w:t>收益水平</w:t>
                      </w:r>
                    </w:p>
                    <w:p/>
                  </w:txbxContent>
                </v:textbox>
              </v:shape>
            </w:pict>
          </mc:Fallback>
        </mc:AlternateContent>
      </w:r>
      <w:r>
        <w:rPr>
          <w:b/>
          <w:sz w:val="18"/>
          <w:szCs w:val="18"/>
          <w:highlight w:val="none"/>
        </w:rPr>
        <mc:AlternateContent>
          <mc:Choice Requires="wpg">
            <w:drawing>
              <wp:inline distT="0" distB="0" distL="114300" distR="114300">
                <wp:extent cx="3929380" cy="1896110"/>
                <wp:effectExtent l="0" t="0" r="13970" b="8890"/>
                <wp:docPr id="11" name="组合 11"/>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a:effectLst/>
                      </wpg:grpSpPr>
                      <wps:wsp>
                        <wps:cNvPr id="2" name="矩形 2"/>
                        <wps:cNvSpPr>
                          <a:spLocks noChangeAspect="1" noTextEdit="1"/>
                        </wps:cNvSpPr>
                        <wps:spPr>
                          <a:xfrm>
                            <a:off x="0" y="0"/>
                            <a:ext cx="6188" cy="2986"/>
                          </a:xfrm>
                          <a:prstGeom prst="rect">
                            <a:avLst/>
                          </a:prstGeom>
                          <a:noFill/>
                          <a:ln>
                            <a:noFill/>
                          </a:ln>
                          <a:effectLst/>
                        </wps:spPr>
                        <wps:bodyPr upright="1"/>
                      </wps:wsp>
                      <wps:wsp>
                        <wps:cNvPr id="3" name="直接连接符 3"/>
                        <wps:cNvCnPr/>
                        <wps:spPr>
                          <a:xfrm>
                            <a:off x="254" y="2561"/>
                            <a:ext cx="5454" cy="1"/>
                          </a:xfrm>
                          <a:prstGeom prst="line">
                            <a:avLst/>
                          </a:prstGeom>
                          <a:ln w="9525" cap="flat" cmpd="sng">
                            <a:solidFill>
                              <a:srgbClr val="000000"/>
                            </a:solidFill>
                            <a:prstDash val="solid"/>
                            <a:headEnd type="none" w="med" len="med"/>
                            <a:tailEnd type="triangle" w="med" len="med"/>
                          </a:ln>
                          <a:effectLst/>
                        </wps:spPr>
                        <wps:bodyPr upright="1"/>
                      </wps:wsp>
                      <wps:wsp>
                        <wps:cNvPr id="4" name="直接连接符 4"/>
                        <wps:cNvCnPr/>
                        <wps:spPr>
                          <a:xfrm flipV="1">
                            <a:off x="614" y="0"/>
                            <a:ext cx="1" cy="2935"/>
                          </a:xfrm>
                          <a:prstGeom prst="line">
                            <a:avLst/>
                          </a:prstGeom>
                          <a:ln w="9525" cap="flat" cmpd="sng">
                            <a:solidFill>
                              <a:srgbClr val="000000"/>
                            </a:solidFill>
                            <a:prstDash val="solid"/>
                            <a:headEnd type="none" w="med" len="med"/>
                            <a:tailEnd type="triangle" w="med" len="med"/>
                          </a:ln>
                          <a:effectLst/>
                        </wps:spPr>
                        <wps:bodyPr upright="1"/>
                      </wps:wsp>
                      <wps:wsp>
                        <wps:cNvPr id="5" name="矩形 5"/>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upright="1"/>
                      </wps:wsp>
                      <wps:wsp>
                        <wps:cNvPr id="6" name="矩形 6"/>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upright="1"/>
                      </wps:wsp>
                      <wps:wsp>
                        <wps:cNvPr id="7" name="矩形 7"/>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upright="1"/>
                      </wps:wsp>
                      <wps:wsp>
                        <wps:cNvPr id="8" name="矩形 8"/>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upright="1"/>
                      </wps:wsp>
                      <wps:wsp>
                        <wps:cNvPr id="9" name="矩形 9"/>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upright="1"/>
                      </wps:wsp>
                      <wps:wsp>
                        <wps:cNvPr id="10" name="矩形 10"/>
                        <wps:cNvSpPr/>
                        <wps:spPr>
                          <a:xfrm>
                            <a:off x="3630" y="2600"/>
                            <a:ext cx="2558" cy="386"/>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_x0000_s1026"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">
                <o:lock v:ext="edit" rotation="t" aspectratio="f"/>
                <v:rect id="_x0000_s1026"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_x0000_s1026"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_x0000_s102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_x0000_s1026"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_x0000_s1026"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_x0000_s1026"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_x0000_s1026"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_x0000_s1026"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highlight w:val="none"/>
        </w:rPr>
      </w:pPr>
      <w:r>
        <w:rPr>
          <w:rFonts w:hint="eastAsia"/>
          <w:sz w:val="18"/>
          <w:szCs w:val="18"/>
          <w:highlight w:val="none"/>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highlight w:val="none"/>
        </w:rPr>
      </w:pPr>
      <w:r>
        <w:rPr>
          <w:rFonts w:hint="eastAsia"/>
          <w:b/>
          <w:sz w:val="18"/>
          <w:szCs w:val="18"/>
          <w:highlight w:val="none"/>
        </w:rPr>
        <w:t>产品概述</w:t>
      </w:r>
    </w:p>
    <w:tbl>
      <w:tblPr>
        <w:tblStyle w:val="7"/>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 xml:space="preserve"> “金鹿理财-普惠盈周”</w:t>
            </w:r>
            <w:r>
              <w:rPr>
                <w:rFonts w:hint="eastAsia"/>
                <w:sz w:val="18"/>
                <w:szCs w:val="18"/>
                <w:highlight w:val="none"/>
                <w:u w:val="single"/>
              </w:rPr>
              <w:t>1</w:t>
            </w:r>
            <w:r>
              <w:rPr>
                <w:rFonts w:hint="eastAsia"/>
                <w:sz w:val="18"/>
                <w:szCs w:val="18"/>
                <w:highlight w:val="none"/>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PZ0001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sz w:val="18"/>
                <w:szCs w:val="18"/>
                <w:highlight w:val="none"/>
              </w:rPr>
            </w:pPr>
            <w:r>
              <w:rPr>
                <w:rFonts w:hint="eastAsia"/>
                <w:sz w:val="18"/>
                <w:szCs w:val="18"/>
                <w:highlight w:val="none"/>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hAnsi="Calibri"/>
                <w:sz w:val="18"/>
                <w:szCs w:val="18"/>
                <w:highlight w:val="none"/>
              </w:rPr>
            </w:pPr>
            <w:r>
              <w:rPr>
                <w:rFonts w:hAnsi="Calibri"/>
                <w:sz w:val="18"/>
                <w:szCs w:val="18"/>
                <w:highlight w:val="none"/>
              </w:rPr>
              <w:t>C1092220000402</w:t>
            </w:r>
          </w:p>
          <w:p>
            <w:pPr>
              <w:pStyle w:val="10"/>
              <w:adjustRightInd w:val="0"/>
              <w:snapToGrid w:val="0"/>
              <w:spacing w:before="0" w:beforeAutospacing="0" w:after="0" w:afterAutospacing="0" w:line="288" w:lineRule="auto"/>
              <w:jc w:val="center"/>
              <w:rPr>
                <w:rFonts w:hint="eastAsia" w:hAnsi="Calibri"/>
                <w:sz w:val="18"/>
                <w:szCs w:val="18"/>
                <w:highlight w:val="none"/>
              </w:rPr>
            </w:pPr>
            <w:r>
              <w:rPr>
                <w:rFonts w:hAnsi="Calibri"/>
                <w:sz w:val="18"/>
                <w:szCs w:val="18"/>
                <w:highlight w:val="none"/>
              </w:rPr>
              <w:t xml:space="preserve"> (投资者可登录中国理财网</w:t>
            </w:r>
            <w:r>
              <w:rPr>
                <w:rFonts w:hAnsi="Calibri"/>
                <w:sz w:val="18"/>
                <w:szCs w:val="18"/>
                <w:highlight w:val="none"/>
                <w:u w:val="single"/>
              </w:rPr>
              <w:t>www.chinawealth.com.cn</w:t>
            </w:r>
            <w:r>
              <w:rPr>
                <w:rFonts w:hAnsi="Calibri"/>
                <w:sz w:val="18"/>
                <w:szCs w:val="18"/>
                <w:highlight w:val="none"/>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sz w:val="18"/>
                <w:szCs w:val="18"/>
                <w:highlight w:val="none"/>
              </w:rPr>
            </w:pPr>
            <w:r>
              <w:rPr>
                <w:rFonts w:hint="eastAsia"/>
                <w:sz w:val="18"/>
                <w:szCs w:val="18"/>
                <w:highlight w:val="none"/>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sz w:val="18"/>
                <w:szCs w:val="18"/>
                <w:highlight w:val="none"/>
              </w:rPr>
            </w:pPr>
            <w:r>
              <w:rPr>
                <w:rFonts w:hint="eastAsia"/>
                <w:sz w:val="18"/>
                <w:szCs w:val="18"/>
                <w:highlight w:val="none"/>
              </w:rPr>
              <w:t>公开募集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发行规模不超过</w:t>
            </w:r>
            <w:r>
              <w:rPr>
                <w:rFonts w:hint="eastAsia"/>
                <w:sz w:val="18"/>
                <w:szCs w:val="18"/>
                <w:highlight w:val="none"/>
              </w:rPr>
              <w:t>50亿元</w:t>
            </w:r>
            <w:r>
              <w:rPr>
                <w:rFonts w:hint="eastAsia" w:cs="Times New Roman"/>
                <w:sz w:val="18"/>
                <w:szCs w:val="18"/>
                <w:highlight w:val="none"/>
              </w:rPr>
              <w:t>（温州银行有权根据产品募集和市场情况调整计划发行量。若认购期内实际募集金额超过计划发行量，则以实际募集金额为准。）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sz w:val="18"/>
                <w:szCs w:val="18"/>
                <w:highlight w:val="none"/>
                <w:u w:val="single"/>
              </w:rPr>
            </w:pPr>
            <w:r>
              <w:rPr>
                <w:rFonts w:hint="eastAsia"/>
                <w:sz w:val="18"/>
                <w:szCs w:val="18"/>
                <w:highlight w:val="none"/>
                <w:u w:val="single"/>
              </w:rPr>
              <w:t>2020年9月21日至2020年9月27日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产品成立</w:t>
            </w:r>
            <w:r>
              <w:rPr>
                <w:rFonts w:hint="eastAsia"/>
                <w:sz w:val="18"/>
                <w:szCs w:val="18"/>
                <w:highlight w:val="none"/>
              </w:rPr>
              <w:t>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highlight w:val="none"/>
              </w:rPr>
            </w:pPr>
            <w:r>
              <w:rPr>
                <w:rFonts w:hint="eastAsia"/>
                <w:sz w:val="18"/>
                <w:szCs w:val="18"/>
                <w:highlight w:val="none"/>
              </w:rPr>
              <w:t>2020年9月28日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封闭期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sz w:val="18"/>
                <w:szCs w:val="18"/>
                <w:highlight w:val="none"/>
              </w:rPr>
            </w:pPr>
            <w:r>
              <w:rPr>
                <w:rFonts w:hint="eastAsia"/>
                <w:sz w:val="18"/>
                <w:szCs w:val="18"/>
                <w:highlight w:val="none"/>
              </w:rPr>
              <w:t>2020年9月28日至2020年10月28日，封闭期内不受理申购赎回申请。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center"/>
              <w:rPr>
                <w:rFonts w:hint="eastAsia"/>
                <w:sz w:val="18"/>
                <w:szCs w:val="18"/>
                <w:highlight w:val="none"/>
              </w:rPr>
            </w:pPr>
            <w:r>
              <w:rPr>
                <w:rFonts w:ascii="宋体" w:hAnsi="宋体"/>
                <w:kern w:val="0"/>
                <w:sz w:val="18"/>
                <w:highlight w:val="none"/>
              </w:rPr>
              <w:t>本理财</w:t>
            </w:r>
            <w:r>
              <w:rPr>
                <w:rFonts w:hint="eastAsia" w:ascii="宋体" w:hAnsi="宋体"/>
                <w:kern w:val="0"/>
                <w:sz w:val="18"/>
                <w:highlight w:val="none"/>
              </w:rPr>
              <w:t>计划无固定到期日</w:t>
            </w:r>
            <w:r>
              <w:rPr>
                <w:rFonts w:ascii="宋体" w:hAnsi="宋体"/>
                <w:kern w:val="0"/>
                <w:sz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Autospacing="0" w:afterAutospacing="0" w:line="288" w:lineRule="auto"/>
              <w:jc w:val="center"/>
              <w:rPr>
                <w:rFonts w:cs="Times New Roman"/>
                <w:sz w:val="18"/>
                <w:szCs w:val="18"/>
                <w:highlight w:val="none"/>
              </w:rPr>
            </w:pPr>
            <w:r>
              <w:rPr>
                <w:rFonts w:hint="eastAsia" w:cs="Times New Roman"/>
                <w:sz w:val="18"/>
                <w:szCs w:val="18"/>
                <w:highlight w:val="none"/>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highlight w:val="none"/>
              </w:rPr>
            </w:pPr>
            <w:r>
              <w:rPr>
                <w:rFonts w:ascii="宋体" w:hAnsi="宋体"/>
                <w:sz w:val="18"/>
                <w:highlight w:val="none"/>
              </w:rPr>
              <w:t>1．本理财产品成立后，按投资周期开放</w:t>
            </w:r>
            <w:r>
              <w:rPr>
                <w:rFonts w:hint="eastAsia" w:ascii="宋体" w:hAnsi="宋体"/>
                <w:sz w:val="18"/>
                <w:highlight w:val="none"/>
              </w:rPr>
              <w:t>预约认购（申购）</w:t>
            </w:r>
            <w:r>
              <w:rPr>
                <w:rFonts w:ascii="宋体" w:hAnsi="宋体"/>
                <w:sz w:val="18"/>
                <w:highlight w:val="none"/>
              </w:rPr>
              <w:t>、预约赎回。每一个投资</w:t>
            </w:r>
            <w:r>
              <w:rPr>
                <w:rFonts w:hint="eastAsia" w:ascii="宋体" w:hAnsi="宋体"/>
                <w:sz w:val="18"/>
                <w:highlight w:val="none"/>
              </w:rPr>
              <w:t>运作</w:t>
            </w:r>
            <w:r>
              <w:rPr>
                <w:rFonts w:ascii="宋体" w:hAnsi="宋体"/>
                <w:sz w:val="18"/>
                <w:highlight w:val="none"/>
              </w:rPr>
              <w:t>周期</w:t>
            </w:r>
            <w:r>
              <w:rPr>
                <w:rFonts w:ascii="宋体" w:hAnsi="宋体"/>
                <w:kern w:val="0"/>
                <w:sz w:val="18"/>
                <w:highlight w:val="none"/>
              </w:rPr>
              <w:t>为该</w:t>
            </w:r>
            <w:r>
              <w:rPr>
                <w:rFonts w:ascii="宋体" w:hAnsi="宋体"/>
                <w:sz w:val="18"/>
                <w:highlight w:val="none"/>
              </w:rPr>
              <w:t>投资周期起始日</w:t>
            </w:r>
            <w:r>
              <w:rPr>
                <w:rFonts w:ascii="宋体" w:hAnsi="宋体"/>
                <w:kern w:val="0"/>
                <w:sz w:val="18"/>
                <w:highlight w:val="none"/>
              </w:rPr>
              <w:t>至该</w:t>
            </w:r>
            <w:r>
              <w:rPr>
                <w:rFonts w:ascii="宋体" w:hAnsi="宋体"/>
                <w:sz w:val="18"/>
                <w:highlight w:val="none"/>
              </w:rPr>
              <w:t>投资周期</w:t>
            </w:r>
            <w:r>
              <w:rPr>
                <w:rFonts w:ascii="宋体" w:hAnsi="宋体"/>
                <w:kern w:val="0"/>
                <w:sz w:val="18"/>
                <w:highlight w:val="none"/>
              </w:rPr>
              <w:t>终止日的理财期间</w:t>
            </w:r>
            <w:r>
              <w:rPr>
                <w:rFonts w:hint="eastAsia"/>
                <w:sz w:val="18"/>
                <w:szCs w:val="18"/>
                <w:highlight w:val="none"/>
              </w:rPr>
              <w:t>。</w:t>
            </w:r>
            <w:r>
              <w:rPr>
                <w:rFonts w:hint="eastAsia" w:ascii="宋体" w:hAnsi="宋体"/>
                <w:sz w:val="18"/>
                <w:highlight w:val="none"/>
              </w:rPr>
              <w:t>投资周期内，除投资周期起始日/终止日外的每一个工作日，均可提交申购/赎回申请。</w:t>
            </w:r>
          </w:p>
          <w:p>
            <w:pPr>
              <w:autoSpaceDN w:val="0"/>
              <w:rPr>
                <w:rFonts w:ascii="宋体" w:hAnsi="宋体"/>
                <w:sz w:val="24"/>
                <w:highlight w:val="none"/>
              </w:rPr>
            </w:pPr>
            <w:r>
              <w:rPr>
                <w:rFonts w:ascii="宋体" w:hAnsi="宋体"/>
                <w:sz w:val="18"/>
                <w:highlight w:val="none"/>
              </w:rPr>
              <w:t>2．本理财产品一个投资周期为【</w:t>
            </w:r>
            <w:r>
              <w:rPr>
                <w:rFonts w:hint="eastAsia" w:ascii="宋体" w:hAnsi="宋体"/>
                <w:sz w:val="18"/>
                <w:highlight w:val="none"/>
              </w:rPr>
              <w:t>7</w:t>
            </w:r>
            <w:r>
              <w:rPr>
                <w:rFonts w:ascii="宋体" w:hAnsi="宋体"/>
                <w:sz w:val="18"/>
                <w:highlight w:val="none"/>
              </w:rPr>
              <w:t>】天，</w:t>
            </w:r>
            <w:r>
              <w:rPr>
                <w:rFonts w:hint="eastAsia" w:ascii="宋体" w:hAnsi="宋体"/>
                <w:sz w:val="18"/>
                <w:highlight w:val="none"/>
              </w:rPr>
              <w:t>在本理财计划存续期内开放的其他</w:t>
            </w:r>
            <w:r>
              <w:rPr>
                <w:rFonts w:ascii="宋体" w:hAnsi="宋体"/>
                <w:sz w:val="18"/>
                <w:highlight w:val="none"/>
              </w:rPr>
              <w:t>投资周期可能会因非工作日调整大于或小于【</w:t>
            </w:r>
            <w:r>
              <w:rPr>
                <w:rFonts w:hint="eastAsia" w:ascii="宋体" w:hAnsi="宋体"/>
                <w:sz w:val="18"/>
                <w:highlight w:val="none"/>
              </w:rPr>
              <w:t>7</w:t>
            </w:r>
            <w:r>
              <w:rPr>
                <w:rFonts w:ascii="宋体" w:hAnsi="宋体"/>
                <w:sz w:val="18"/>
                <w:highlight w:val="none"/>
              </w:rPr>
              <w:t>】天。投资周期终止日如遇非工作日则</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将</w:t>
            </w:r>
            <w:r>
              <w:rPr>
                <w:rFonts w:ascii="宋体" w:hAnsi="宋体"/>
                <w:sz w:val="18"/>
                <w:highlight w:val="none"/>
              </w:rPr>
              <w:t>做相应调整</w:t>
            </w:r>
            <w:r>
              <w:rPr>
                <w:rFonts w:ascii="宋体" w:hAnsi="宋体"/>
                <w:kern w:val="0"/>
                <w:sz w:val="18"/>
                <w:highlight w:val="none"/>
              </w:rPr>
              <w:t>。</w:t>
            </w:r>
          </w:p>
          <w:p>
            <w:pPr>
              <w:autoSpaceDN w:val="0"/>
              <w:rPr>
                <w:rFonts w:ascii="宋体" w:hAnsi="宋体"/>
                <w:sz w:val="18"/>
                <w:highlight w:val="none"/>
              </w:rPr>
            </w:pPr>
            <w:r>
              <w:rPr>
                <w:rFonts w:ascii="宋体" w:hAnsi="宋体"/>
                <w:sz w:val="18"/>
                <w:highlight w:val="none"/>
              </w:rPr>
              <w:t>3. 本理财产品按投资周期开放申购，</w:t>
            </w:r>
            <w:r>
              <w:rPr>
                <w:rFonts w:hint="eastAsia" w:ascii="宋体" w:hAnsi="宋体"/>
                <w:sz w:val="18"/>
                <w:highlight w:val="none"/>
              </w:rPr>
              <w:t>投资者</w:t>
            </w:r>
            <w:r>
              <w:rPr>
                <w:rFonts w:ascii="宋体" w:hAnsi="宋体"/>
                <w:sz w:val="18"/>
                <w:highlight w:val="none"/>
              </w:rPr>
              <w:t>可以在一个投资周期的预约</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期内提出</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申请</w:t>
            </w:r>
            <w:r>
              <w:rPr>
                <w:rFonts w:hint="eastAsia" w:ascii="宋体" w:hAnsi="宋体"/>
                <w:sz w:val="18"/>
                <w:highlight w:val="none"/>
              </w:rPr>
              <w:t>，认购（申购）确认日为下一个投资周期起始日</w:t>
            </w:r>
            <w:r>
              <w:rPr>
                <w:rFonts w:ascii="宋体" w:hAnsi="宋体"/>
                <w:sz w:val="18"/>
                <w:highlight w:val="none"/>
              </w:rPr>
              <w:t>。本理财产品按投资周期开放赎回，</w:t>
            </w:r>
            <w:r>
              <w:rPr>
                <w:rFonts w:hint="eastAsia" w:ascii="宋体" w:hAnsi="宋体"/>
                <w:sz w:val="18"/>
                <w:highlight w:val="none"/>
              </w:rPr>
              <w:t>投资者</w:t>
            </w:r>
            <w:r>
              <w:rPr>
                <w:rFonts w:ascii="宋体" w:hAnsi="宋体"/>
                <w:sz w:val="18"/>
                <w:highlight w:val="none"/>
              </w:rPr>
              <w:t>可以在一个投资周期的预约赎回期内提出赎回申请，赎回确认</w:t>
            </w:r>
            <w:r>
              <w:rPr>
                <w:rFonts w:hint="eastAsia" w:ascii="宋体" w:hAnsi="宋体"/>
                <w:sz w:val="18"/>
                <w:highlight w:val="none"/>
              </w:rPr>
              <w:t>及清算</w:t>
            </w:r>
            <w:r>
              <w:rPr>
                <w:rFonts w:ascii="宋体" w:hAnsi="宋体"/>
                <w:sz w:val="18"/>
                <w:highlight w:val="none"/>
              </w:rPr>
              <w:t>日为</w:t>
            </w:r>
            <w:r>
              <w:rPr>
                <w:rFonts w:hint="eastAsia" w:ascii="宋体" w:hAnsi="宋体"/>
                <w:sz w:val="18"/>
                <w:highlight w:val="none"/>
              </w:rPr>
              <w:t>该</w:t>
            </w:r>
            <w:r>
              <w:rPr>
                <w:rFonts w:ascii="宋体" w:hAnsi="宋体"/>
                <w:sz w:val="18"/>
                <w:highlight w:val="none"/>
              </w:rPr>
              <w:t>投资周期的投资周期终止日，</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根据投资者的赎回申请</w:t>
            </w:r>
            <w:r>
              <w:rPr>
                <w:rFonts w:ascii="宋体" w:hAnsi="宋体"/>
                <w:sz w:val="18"/>
                <w:highlight w:val="none"/>
              </w:rPr>
              <w:t>返还客户赎回本金和理财</w:t>
            </w:r>
            <w:r>
              <w:rPr>
                <w:rFonts w:hint="eastAsia" w:ascii="宋体" w:hAnsi="宋体"/>
                <w:sz w:val="18"/>
                <w:highlight w:val="none"/>
              </w:rPr>
              <w:t>损益</w:t>
            </w:r>
            <w:r>
              <w:rPr>
                <w:rFonts w:ascii="宋体" w:hAnsi="宋体"/>
                <w:sz w:val="18"/>
                <w:highlight w:val="none"/>
              </w:rPr>
              <w:t>。如果</w:t>
            </w:r>
            <w:r>
              <w:rPr>
                <w:rFonts w:hint="eastAsia" w:ascii="宋体" w:hAnsi="宋体"/>
                <w:sz w:val="18"/>
                <w:highlight w:val="none"/>
              </w:rPr>
              <w:t>投资者</w:t>
            </w:r>
            <w:r>
              <w:rPr>
                <w:rFonts w:ascii="宋体" w:hAnsi="宋体"/>
                <w:sz w:val="18"/>
                <w:highlight w:val="none"/>
              </w:rPr>
              <w:t>在</w:t>
            </w:r>
            <w:r>
              <w:rPr>
                <w:rFonts w:hint="eastAsia" w:ascii="宋体" w:hAnsi="宋体"/>
                <w:sz w:val="18"/>
                <w:highlight w:val="none"/>
              </w:rPr>
              <w:t>购买资金对应的</w:t>
            </w:r>
            <w:r>
              <w:rPr>
                <w:rFonts w:ascii="宋体" w:hAnsi="宋体"/>
                <w:sz w:val="18"/>
                <w:highlight w:val="none"/>
              </w:rPr>
              <w:t>投资周期</w:t>
            </w:r>
            <w:r>
              <w:rPr>
                <w:rFonts w:hint="eastAsia" w:ascii="宋体" w:hAnsi="宋体"/>
                <w:sz w:val="18"/>
                <w:highlight w:val="none"/>
              </w:rPr>
              <w:t>内</w:t>
            </w:r>
            <w:r>
              <w:rPr>
                <w:rFonts w:ascii="宋体" w:hAnsi="宋体"/>
                <w:sz w:val="18"/>
                <w:highlight w:val="none"/>
              </w:rPr>
              <w:t>的预期赎回期内未提出赎回申请，则该投资周期终止后，客户的理财资金</w:t>
            </w:r>
            <w:r>
              <w:rPr>
                <w:rFonts w:hint="eastAsia" w:ascii="宋体" w:hAnsi="宋体"/>
                <w:sz w:val="18"/>
                <w:highlight w:val="none"/>
              </w:rPr>
              <w:t>将</w:t>
            </w:r>
            <w:r>
              <w:rPr>
                <w:rFonts w:ascii="宋体" w:hAnsi="宋体"/>
                <w:sz w:val="18"/>
                <w:highlight w:val="none"/>
              </w:rPr>
              <w:t>继续进入下一个投资周期进行理财运作，</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在对应的</w:t>
            </w:r>
            <w:r>
              <w:rPr>
                <w:rFonts w:ascii="宋体" w:hAnsi="宋体"/>
                <w:sz w:val="18"/>
                <w:highlight w:val="none"/>
              </w:rPr>
              <w:t>投资周期终止日，</w:t>
            </w:r>
            <w:r>
              <w:rPr>
                <w:rFonts w:hint="eastAsia" w:ascii="宋体" w:hAnsi="宋体"/>
                <w:sz w:val="18"/>
                <w:highlight w:val="none"/>
              </w:rPr>
              <w:t>进行</w:t>
            </w:r>
            <w:r>
              <w:rPr>
                <w:rFonts w:ascii="宋体" w:hAnsi="宋体"/>
                <w:sz w:val="18"/>
                <w:highlight w:val="none"/>
              </w:rPr>
              <w:t>该投资周期理财收益</w:t>
            </w:r>
            <w:r>
              <w:rPr>
                <w:rFonts w:hint="eastAsia" w:ascii="宋体" w:hAnsi="宋体"/>
                <w:sz w:val="18"/>
                <w:highlight w:val="none"/>
              </w:rPr>
              <w:t>清算</w:t>
            </w:r>
            <w:r>
              <w:rPr>
                <w:rFonts w:ascii="宋体" w:hAnsi="宋体"/>
                <w:sz w:val="18"/>
                <w:highlight w:val="none"/>
              </w:rPr>
              <w:t>。</w:t>
            </w:r>
          </w:p>
          <w:p>
            <w:pPr>
              <w:autoSpaceDN w:val="0"/>
              <w:rPr>
                <w:rFonts w:ascii="宋体" w:hAnsi="宋体"/>
                <w:sz w:val="18"/>
                <w:highlight w:val="none"/>
              </w:rPr>
            </w:pPr>
            <w:r>
              <w:rPr>
                <w:rFonts w:hint="eastAsia" w:ascii="宋体" w:hAnsi="宋体"/>
                <w:sz w:val="18"/>
                <w:highlight w:val="none"/>
              </w:rPr>
              <w:t>4.在理财产品存续期内，温州银行有权根据市场情况变化暂停本理财产品的申购、赎回，暂停申购、赎回的公告将通过温州银行网站（www.wzbank.cn）发布。</w:t>
            </w:r>
          </w:p>
          <w:p>
            <w:pPr>
              <w:autoSpaceDN w:val="0"/>
              <w:rPr>
                <w:rFonts w:ascii="宋体" w:hAnsi="宋体"/>
                <w:sz w:val="24"/>
                <w:highlight w:val="none"/>
              </w:rPr>
            </w:pPr>
            <w:r>
              <w:rPr>
                <w:rFonts w:hint="eastAsia" w:ascii="宋体" w:hAnsi="宋体"/>
                <w:sz w:val="18"/>
                <w:highlight w:val="none"/>
              </w:rPr>
              <w:t>5.产品封闭期结束后的每个周四（如遇非工作日则顺延至下一工作日）为投资周期终止日。</w:t>
            </w:r>
          </w:p>
          <w:p>
            <w:pPr>
              <w:autoSpaceDN w:val="0"/>
              <w:rPr>
                <w:sz w:val="18"/>
                <w:szCs w:val="18"/>
                <w:highlight w:val="none"/>
              </w:rPr>
            </w:pPr>
            <w:r>
              <w:rPr>
                <w:rFonts w:hint="eastAsia" w:ascii="宋体" w:hAnsi="宋体"/>
                <w:sz w:val="18"/>
                <w:highlight w:val="none"/>
              </w:rPr>
              <w:t>6</w:t>
            </w:r>
            <w:r>
              <w:rPr>
                <w:rFonts w:ascii="宋体" w:hAnsi="宋体"/>
                <w:sz w:val="18"/>
                <w:highlight w:val="none"/>
              </w:rPr>
              <w:t>．当期投资周期的投资周期终止日、赎回</w:t>
            </w:r>
            <w:r>
              <w:rPr>
                <w:rFonts w:hint="eastAsia" w:ascii="宋体" w:hAnsi="宋体"/>
                <w:sz w:val="18"/>
                <w:highlight w:val="none"/>
              </w:rPr>
              <w:t>清算</w:t>
            </w:r>
            <w:r>
              <w:rPr>
                <w:rFonts w:ascii="宋体" w:hAnsi="宋体"/>
                <w:sz w:val="18"/>
                <w:highlight w:val="none"/>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hint="eastAsia" w:ascii="宋体" w:hAnsi="宋体"/>
                <w:sz w:val="18"/>
                <w:highlight w:val="none"/>
              </w:rPr>
              <w:t>首次投资最低金额为</w:t>
            </w:r>
            <w:r>
              <w:rPr>
                <w:rFonts w:ascii="宋体" w:hAnsi="宋体"/>
                <w:sz w:val="18"/>
                <w:highlight w:val="none"/>
              </w:rPr>
              <w:t>1</w:t>
            </w:r>
            <w:r>
              <w:rPr>
                <w:rFonts w:hint="eastAsia" w:ascii="宋体" w:hAnsi="宋体"/>
                <w:sz w:val="18"/>
                <w:highlight w:val="none"/>
              </w:rPr>
              <w:t>万元；超出首次投资最低金额部分，须为</w:t>
            </w:r>
            <w:r>
              <w:rPr>
                <w:rFonts w:ascii="宋体" w:hAnsi="宋体"/>
                <w:sz w:val="18"/>
                <w:highlight w:val="none"/>
              </w:rPr>
              <w:t>1</w:t>
            </w:r>
            <w:r>
              <w:rPr>
                <w:rFonts w:hint="eastAsia" w:ascii="宋体" w:hAnsi="宋体"/>
                <w:sz w:val="18"/>
                <w:highlight w:val="none"/>
              </w:rPr>
              <w:t>千元或</w:t>
            </w:r>
            <w:r>
              <w:rPr>
                <w:rFonts w:ascii="宋体" w:hAnsi="宋体"/>
                <w:sz w:val="18"/>
                <w:highlight w:val="none"/>
              </w:rPr>
              <w:t>1</w:t>
            </w:r>
            <w:r>
              <w:rPr>
                <w:rFonts w:hint="eastAsia" w:ascii="宋体" w:hAnsi="宋体"/>
                <w:sz w:val="18"/>
                <w:highlight w:val="none"/>
              </w:rPr>
              <w:t>千元的整数倍。单户累计最大购买金额</w:t>
            </w:r>
            <w:r>
              <w:rPr>
                <w:rFonts w:hint="eastAsia" w:ascii="宋体" w:hAnsi="宋体"/>
                <w:sz w:val="18"/>
                <w:highlight w:val="none"/>
                <w:lang w:val="en-US" w:eastAsia="zh-CN"/>
              </w:rPr>
              <w:t>1亿</w:t>
            </w:r>
            <w:r>
              <w:rPr>
                <w:rFonts w:hint="eastAsia" w:ascii="宋体" w:hAnsi="宋体"/>
                <w:sz w:val="18"/>
                <w:highlight w:val="none"/>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认购份额</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认购份额=认购金额÷1元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申购份额</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rFonts w:hint="eastAsia"/>
                <w:sz w:val="18"/>
                <w:szCs w:val="18"/>
                <w:highlight w:val="none"/>
              </w:rPr>
            </w:pPr>
            <w:r>
              <w:rPr>
                <w:rFonts w:hint="eastAsia"/>
                <w:sz w:val="18"/>
                <w:szCs w:val="18"/>
                <w:highlight w:val="none"/>
              </w:rPr>
              <w:t>申购份额＝申购金额÷申购确认日前一自然日理财计划单位净值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赎回金额的计算</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rFonts w:hint="eastAsia"/>
                <w:sz w:val="18"/>
                <w:szCs w:val="18"/>
                <w:highlight w:val="none"/>
              </w:rPr>
            </w:pPr>
            <w:r>
              <w:rPr>
                <w:rFonts w:hint="eastAsia"/>
                <w:sz w:val="18"/>
                <w:szCs w:val="18"/>
                <w:highlight w:val="none"/>
              </w:rPr>
              <w:t>赎回金额＝总赎回份额×赎回清算日前一自然日理财计划单位净值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0.005%</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业绩比较基准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lang w:val="en-US" w:eastAsia="zh-CN"/>
              </w:rPr>
              <w:t>2.15%-2.75%</w:t>
            </w:r>
            <w:r>
              <w:rPr>
                <w:rFonts w:hint="eastAsia" w:cs="Times New Roman"/>
                <w:sz w:val="18"/>
                <w:szCs w:val="18"/>
                <w:highlight w:val="none"/>
              </w:rPr>
              <w:t>（年化）</w:t>
            </w:r>
          </w:p>
          <w:p>
            <w:pPr>
              <w:pStyle w:val="10"/>
              <w:adjustRightInd w:val="0"/>
              <w:snapToGrid w:val="0"/>
              <w:spacing w:before="0" w:beforeAutospacing="0" w:after="0" w:afterAutospacing="0" w:line="288" w:lineRule="auto"/>
              <w:jc w:val="left"/>
              <w:rPr>
                <w:rFonts w:hint="eastAsia" w:cs="Times New Roman"/>
                <w:sz w:val="18"/>
                <w:szCs w:val="18"/>
                <w:highlight w:val="none"/>
              </w:rPr>
            </w:pPr>
            <w:r>
              <w:rPr>
                <w:rFonts w:hint="eastAsia" w:cs="Times New Roman"/>
                <w:sz w:val="18"/>
                <w:szCs w:val="18"/>
                <w:highlight w:val="none"/>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lang w:val="en-US" w:eastAsia="zh-CN"/>
              </w:rPr>
              <w:t>1.0</w:t>
            </w:r>
            <w:r>
              <w:rPr>
                <w:rFonts w:hint="eastAsia" w:cs="Times New Roman"/>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rPr>
                <w:rFonts w:hint="eastAsia" w:cs="Times New Roman"/>
                <w:sz w:val="18"/>
                <w:szCs w:val="18"/>
                <w:highlight w:val="none"/>
              </w:rPr>
            </w:pPr>
            <w:r>
              <w:rPr>
                <w:rFonts w:hint="eastAsia" w:cs="Times New Roman"/>
                <w:sz w:val="18"/>
                <w:szCs w:val="18"/>
                <w:highlight w:val="none"/>
              </w:rPr>
              <w:t>若本理财产品扣除产品固定管理费及托管费等各项费用后,日累计单位净值年化增长率超过业绩比较基准，投资管理人收取固定比例的浮动管理费。浮动管理费的具体计提及提取方式参照下文计算公式执行。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rPr>
                <w:rFonts w:hint="eastAsia" w:cs="Times New Roman"/>
                <w:sz w:val="18"/>
                <w:szCs w:val="18"/>
                <w:highlight w:val="none"/>
              </w:rPr>
            </w:pPr>
            <w:r>
              <w:rPr>
                <w:rFonts w:hint="eastAsia" w:cs="Times New Roman"/>
                <w:sz w:val="18"/>
                <w:szCs w:val="18"/>
                <w:highlight w:val="none"/>
              </w:rPr>
              <w:t>交易费用（包括但不限于交易佣金、撮合费用等）、理财计划估值服务费、理财计划验资费、审计费、律师费、信息披露费、清算费、执行费用等相关费用，具体以实际发生为准。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sz w:val="18"/>
                <w:szCs w:val="18"/>
                <w:highlight w:val="none"/>
              </w:rPr>
            </w:pPr>
            <w:r>
              <w:rPr>
                <w:rFonts w:hint="eastAsia"/>
                <w:sz w:val="18"/>
                <w:szCs w:val="18"/>
                <w:highlight w:val="none"/>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rFonts w:hint="eastAsia"/>
                <w:sz w:val="18"/>
                <w:szCs w:val="18"/>
                <w:highlight w:val="none"/>
              </w:rPr>
            </w:pPr>
            <w:r>
              <w:rPr>
                <w:rFonts w:hint="eastAsia" w:ascii="宋体" w:hAnsi="宋体"/>
                <w:kern w:val="0"/>
                <w:sz w:val="18"/>
                <w:szCs w:val="18"/>
                <w:highlight w:val="none"/>
              </w:rPr>
              <w:t>单位净值为提取相关费用后的单位理财产品份额净值，单位净值=理财产品估值日理财产品总净值/产品总份额。理财产品总净值=理财产品购买总额-理财产品赎回总额+理财产品所获总收益-理财产品总费用（包括但不限于固定管理费、浮动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highlight w:val="none"/>
              </w:rPr>
            </w:pPr>
            <w:r>
              <w:rPr>
                <w:rFonts w:hint="eastAsia"/>
                <w:sz w:val="18"/>
                <w:szCs w:val="18"/>
                <w:highlight w:val="none"/>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rFonts w:hint="eastAsia"/>
                <w:sz w:val="18"/>
                <w:szCs w:val="18"/>
                <w:highlight w:val="none"/>
              </w:rPr>
            </w:pPr>
            <w:r>
              <w:rPr>
                <w:rFonts w:hint="eastAsia"/>
                <w:sz w:val="18"/>
                <w:szCs w:val="18"/>
                <w:highlight w:val="none"/>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rPr>
                <w:rFonts w:hint="eastAsia"/>
                <w:sz w:val="18"/>
                <w:szCs w:val="18"/>
                <w:highlight w:val="none"/>
              </w:rPr>
            </w:pPr>
            <w:r>
              <w:rPr>
                <w:rFonts w:hint="eastAsia"/>
                <w:sz w:val="18"/>
                <w:szCs w:val="18"/>
                <w:highlight w:val="none"/>
              </w:rPr>
              <w:t>温州银行将在温州银行官方网站</w:t>
            </w:r>
            <w:r>
              <w:rPr>
                <w:rFonts w:hint="eastAsia"/>
                <w:sz w:val="18"/>
                <w:szCs w:val="18"/>
                <w:highlight w:val="none"/>
                <w:lang w:val="en-US" w:eastAsia="zh-CN"/>
              </w:rPr>
              <w:t>或电子银行等信息平台</w:t>
            </w:r>
            <w:r>
              <w:rPr>
                <w:rFonts w:hint="eastAsia"/>
                <w:sz w:val="18"/>
                <w:szCs w:val="18"/>
                <w:highlight w:val="none"/>
              </w:rPr>
              <w:t>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hint="eastAsia"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b/>
                <w:sz w:val="18"/>
                <w:szCs w:val="18"/>
                <w:highlight w:val="none"/>
              </w:rPr>
            </w:pPr>
            <w:r>
              <w:rPr>
                <w:rFonts w:hint="eastAsia" w:cs="Times New Roman"/>
                <w:b/>
                <w:sz w:val="18"/>
                <w:szCs w:val="18"/>
                <w:highlight w:val="none"/>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rPr>
                <w:rFonts w:cs="Times New Roman"/>
                <w:b/>
                <w:sz w:val="18"/>
                <w:szCs w:val="18"/>
                <w:highlight w:val="none"/>
              </w:rPr>
            </w:pPr>
            <w:r>
              <w:rPr>
                <w:rFonts w:hint="eastAsia" w:cs="Times New Roman"/>
                <w:b/>
                <w:sz w:val="18"/>
                <w:szCs w:val="18"/>
                <w:highlight w:val="none"/>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产品工作日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rPr>
                <w:sz w:val="18"/>
                <w:szCs w:val="18"/>
                <w:highlight w:val="none"/>
              </w:rPr>
            </w:pPr>
            <w:r>
              <w:rPr>
                <w:rFonts w:hint="eastAsia"/>
                <w:sz w:val="18"/>
                <w:szCs w:val="18"/>
                <w:highlight w:val="none"/>
              </w:rPr>
              <w:t>指上海证券交易所的正常交易日（不包含周六、周日和法定节假日），本理财产品说明书所述之日期如遇中国法定节假日自动顺延至下一个工作日。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在本产品存续期内，温州银行有权根据市场情况调整本产品前述产品要素，调整前将在</w:t>
            </w:r>
            <w:r>
              <w:rPr>
                <w:rFonts w:hint="eastAsia"/>
                <w:sz w:val="18"/>
                <w:szCs w:val="18"/>
                <w:highlight w:val="none"/>
              </w:rPr>
              <w:t>温州银行官方网站</w:t>
            </w:r>
            <w:r>
              <w:rPr>
                <w:rFonts w:hint="eastAsia" w:cs="Times New Roman"/>
                <w:sz w:val="18"/>
                <w:szCs w:val="18"/>
                <w:highlight w:val="none"/>
              </w:rPr>
              <w:t>进行相关信息披露。理财本金在理财</w:t>
            </w:r>
            <w:r>
              <w:rPr>
                <w:rFonts w:hint="eastAsia" w:cs="Times New Roman"/>
                <w:sz w:val="18"/>
                <w:szCs w:val="18"/>
                <w:highlight w:val="none"/>
                <w:lang w:val="en-US" w:eastAsia="zh-CN"/>
              </w:rPr>
              <w:t>计划成立日/投资周期起始</w:t>
            </w:r>
            <w:r>
              <w:rPr>
                <w:rFonts w:hint="eastAsia" w:cs="Times New Roman"/>
                <w:sz w:val="18"/>
                <w:szCs w:val="18"/>
                <w:highlight w:val="none"/>
              </w:rPr>
              <w:t>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highlight w:val="none"/>
        </w:rPr>
      </w:pPr>
      <w:r>
        <w:rPr>
          <w:rFonts w:hint="eastAsia"/>
          <w:b/>
          <w:sz w:val="18"/>
          <w:szCs w:val="18"/>
          <w:highlight w:val="none"/>
        </w:rPr>
        <w:t>投资管理</w:t>
      </w:r>
    </w:p>
    <w:p>
      <w:pPr>
        <w:adjustRightInd w:val="0"/>
        <w:snapToGrid w:val="0"/>
        <w:spacing w:line="300" w:lineRule="auto"/>
        <w:rPr>
          <w:sz w:val="18"/>
          <w:szCs w:val="18"/>
          <w:highlight w:val="none"/>
        </w:rPr>
      </w:pPr>
      <w:r>
        <w:rPr>
          <w:rFonts w:hint="eastAsia"/>
          <w:sz w:val="18"/>
          <w:szCs w:val="18"/>
          <w:highlight w:val="none"/>
        </w:rPr>
        <w:t>1、投资对象</w:t>
      </w:r>
    </w:p>
    <w:p>
      <w:pPr>
        <w:adjustRightInd w:val="0"/>
        <w:snapToGrid w:val="0"/>
        <w:spacing w:line="300" w:lineRule="auto"/>
        <w:rPr>
          <w:rFonts w:hint="eastAsia"/>
          <w:sz w:val="18"/>
          <w:szCs w:val="18"/>
          <w:highlight w:val="none"/>
        </w:rPr>
      </w:pPr>
      <w:r>
        <w:rPr>
          <w:rFonts w:hint="eastAsia"/>
          <w:sz w:val="18"/>
          <w:szCs w:val="18"/>
          <w:highlight w:val="none"/>
        </w:rPr>
        <w:t>本产品为固定收益类理财产品，温州银行主要将理财产品募集资金直接或间接配置于存款、</w:t>
      </w:r>
      <w:r>
        <w:rPr>
          <w:rFonts w:hint="eastAsia"/>
          <w:sz w:val="18"/>
          <w:szCs w:val="18"/>
          <w:highlight w:val="none"/>
          <w:lang w:val="en-US" w:eastAsia="zh-CN"/>
        </w:rPr>
        <w:t>债券回购、</w:t>
      </w:r>
      <w:r>
        <w:rPr>
          <w:rFonts w:hint="eastAsia"/>
          <w:sz w:val="18"/>
          <w:szCs w:val="18"/>
          <w:highlight w:val="none"/>
        </w:rPr>
        <w:t>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及其他符合监管要求的投资标的和资产组合。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highlight w:val="none"/>
        </w:rPr>
      </w:pPr>
      <w:r>
        <w:rPr>
          <w:sz w:val="18"/>
          <w:szCs w:val="18"/>
          <w:highlight w:val="none"/>
        </w:rPr>
        <w:t>2</w:t>
      </w:r>
      <w:r>
        <w:rPr>
          <w:rFonts w:hint="eastAsia"/>
          <w:sz w:val="18"/>
          <w:szCs w:val="18"/>
          <w:highlight w:val="none"/>
        </w:rPr>
        <w:t>、投资范围与投资比例</w:t>
      </w:r>
    </w:p>
    <w:tbl>
      <w:tblPr>
        <w:tblStyle w:val="7"/>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固定收益类</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highlight w:val="none"/>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lang w:val="en-US" w:eastAsia="zh-CN"/>
              </w:rPr>
              <w:t>债券回购、</w:t>
            </w:r>
            <w:r>
              <w:rPr>
                <w:rFonts w:hint="eastAsia" w:ascii="宋体" w:hAnsi="宋体" w:cs="宋体"/>
                <w:color w:val="000000"/>
                <w:kern w:val="0"/>
                <w:sz w:val="18"/>
                <w:szCs w:val="18"/>
                <w:highlight w:val="none"/>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highlight w:val="none"/>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highlight w:val="none"/>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其他符合监管要求的固定收益类资产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highlight w:val="none"/>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sz w:val="18"/>
                <w:szCs w:val="18"/>
                <w:highlight w:val="none"/>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0-20%</w:t>
            </w:r>
          </w:p>
        </w:tc>
      </w:tr>
    </w:tbl>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val="en-US" w:eastAsia="zh-CN"/>
        </w:rPr>
        <w:t>本理财产品的杠杆水平不超过140%。</w:t>
      </w:r>
    </w:p>
    <w:p>
      <w:pPr>
        <w:adjustRightInd w:val="0"/>
        <w:snapToGrid w:val="0"/>
        <w:spacing w:line="286" w:lineRule="auto"/>
        <w:rPr>
          <w:rFonts w:hint="eastAsia"/>
          <w:sz w:val="18"/>
          <w:szCs w:val="18"/>
          <w:highlight w:val="none"/>
        </w:rPr>
      </w:pPr>
      <w:r>
        <w:rPr>
          <w:rFonts w:hint="eastAsia"/>
          <w:sz w:val="18"/>
          <w:szCs w:val="18"/>
          <w:highlight w:val="none"/>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highlight w:val="none"/>
        </w:rPr>
      </w:pPr>
      <w:r>
        <w:rPr>
          <w:rFonts w:hint="eastAsia"/>
          <w:sz w:val="18"/>
          <w:szCs w:val="18"/>
          <w:highlight w:val="none"/>
        </w:rPr>
        <w:t>3、投资策略</w:t>
      </w:r>
    </w:p>
    <w:p>
      <w:pPr>
        <w:adjustRightInd w:val="0"/>
        <w:snapToGrid w:val="0"/>
        <w:spacing w:line="286" w:lineRule="auto"/>
        <w:rPr>
          <w:sz w:val="18"/>
          <w:szCs w:val="18"/>
          <w:highlight w:val="none"/>
        </w:rPr>
      </w:pPr>
      <w:r>
        <w:rPr>
          <w:rFonts w:hint="eastAsia"/>
          <w:sz w:val="18"/>
          <w:szCs w:val="18"/>
          <w:highlight w:val="none"/>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highlight w:val="none"/>
        </w:rPr>
      </w:pPr>
      <w:r>
        <w:rPr>
          <w:rFonts w:hint="eastAsia"/>
          <w:b/>
          <w:sz w:val="18"/>
          <w:szCs w:val="18"/>
          <w:highlight w:val="none"/>
        </w:rPr>
        <w:t>产品销售</w:t>
      </w:r>
    </w:p>
    <w:p>
      <w:pPr>
        <w:adjustRightInd w:val="0"/>
        <w:snapToGrid w:val="0"/>
        <w:spacing w:line="281" w:lineRule="auto"/>
        <w:rPr>
          <w:sz w:val="18"/>
          <w:szCs w:val="18"/>
          <w:highlight w:val="none"/>
        </w:rPr>
      </w:pPr>
      <w:r>
        <w:rPr>
          <w:rFonts w:hint="eastAsia"/>
          <w:sz w:val="18"/>
          <w:szCs w:val="18"/>
          <w:highlight w:val="none"/>
        </w:rPr>
        <w:t>销售地区范围包括浙江省、上海地区等。</w:t>
      </w:r>
    </w:p>
    <w:p>
      <w:pPr>
        <w:adjustRightInd w:val="0"/>
        <w:snapToGrid w:val="0"/>
        <w:spacing w:line="286" w:lineRule="auto"/>
        <w:rPr>
          <w:rFonts w:hint="eastAsia"/>
          <w:b/>
          <w:bCs/>
          <w:sz w:val="18"/>
          <w:szCs w:val="18"/>
          <w:highlight w:val="none"/>
        </w:rPr>
      </w:pPr>
      <w:r>
        <w:rPr>
          <w:rFonts w:hint="eastAsia"/>
          <w:b/>
          <w:bCs/>
          <w:sz w:val="18"/>
          <w:szCs w:val="18"/>
          <w:highlight w:val="none"/>
        </w:rPr>
        <w:t>投资管理人</w:t>
      </w:r>
    </w:p>
    <w:p>
      <w:pPr>
        <w:adjustRightInd w:val="0"/>
        <w:snapToGrid w:val="0"/>
        <w:spacing w:line="286" w:lineRule="auto"/>
        <w:rPr>
          <w:rFonts w:hint="eastAsia"/>
          <w:sz w:val="18"/>
          <w:szCs w:val="18"/>
          <w:highlight w:val="none"/>
        </w:rPr>
      </w:pPr>
      <w:r>
        <w:rPr>
          <w:rFonts w:hint="eastAsia"/>
          <w:sz w:val="18"/>
          <w:szCs w:val="18"/>
          <w:highlight w:val="none"/>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rFonts w:hint="eastAsia"/>
          <w:b/>
          <w:bCs/>
          <w:sz w:val="18"/>
          <w:szCs w:val="18"/>
          <w:highlight w:val="none"/>
          <w:lang w:val="en-US" w:eastAsia="zh-CN"/>
        </w:rPr>
      </w:pPr>
      <w:r>
        <w:rPr>
          <w:rFonts w:hint="eastAsia"/>
          <w:b/>
          <w:bCs/>
          <w:sz w:val="18"/>
          <w:szCs w:val="18"/>
          <w:highlight w:val="none"/>
          <w:lang w:val="en-US" w:eastAsia="zh-CN"/>
        </w:rPr>
        <w:t>产品托管人</w:t>
      </w:r>
    </w:p>
    <w:p>
      <w:pPr>
        <w:adjustRightInd w:val="0"/>
        <w:snapToGrid w:val="0"/>
        <w:spacing w:line="286" w:lineRule="auto"/>
        <w:rPr>
          <w:rFonts w:hint="eastAsia"/>
          <w:b/>
          <w:bCs/>
          <w:sz w:val="18"/>
          <w:szCs w:val="18"/>
          <w:highlight w:val="none"/>
        </w:rPr>
      </w:pPr>
      <w:r>
        <w:rPr>
          <w:rFonts w:hint="eastAsia"/>
          <w:sz w:val="18"/>
          <w:szCs w:val="18"/>
          <w:highlight w:val="none"/>
        </w:rPr>
        <w:t>本产品的</w:t>
      </w:r>
      <w:r>
        <w:rPr>
          <w:rFonts w:hint="eastAsia"/>
          <w:sz w:val="18"/>
          <w:szCs w:val="18"/>
          <w:highlight w:val="none"/>
          <w:lang w:val="en-US" w:eastAsia="zh-CN"/>
        </w:rPr>
        <w:t>托管人为</w:t>
      </w:r>
      <w:r>
        <w:rPr>
          <w:rFonts w:hint="eastAsia"/>
          <w:b w:val="0"/>
          <w:bCs w:val="0"/>
          <w:sz w:val="18"/>
          <w:szCs w:val="18"/>
          <w:highlight w:val="none"/>
          <w:lang w:val="en-US" w:eastAsia="zh-CN"/>
        </w:rPr>
        <w:t>招商</w:t>
      </w:r>
      <w:r>
        <w:rPr>
          <w:rFonts w:hint="default"/>
          <w:b w:val="0"/>
          <w:bCs w:val="0"/>
          <w:sz w:val="18"/>
          <w:szCs w:val="18"/>
          <w:highlight w:val="none"/>
          <w:lang w:val="en-US" w:eastAsia="zh-CN"/>
        </w:rPr>
        <w:t>银行股份有限公司</w:t>
      </w:r>
      <w:r>
        <w:rPr>
          <w:rFonts w:hint="eastAsia"/>
          <w:b w:val="0"/>
          <w:bCs w:val="0"/>
          <w:sz w:val="18"/>
          <w:szCs w:val="18"/>
          <w:highlight w:val="none"/>
          <w:lang w:val="en-US" w:eastAsia="zh-CN"/>
        </w:rPr>
        <w:t>，负责履行国务院银行业监督管理机构规定及托管合同约定的职责，包括但不限于</w:t>
      </w:r>
      <w:r>
        <w:rPr>
          <w:rFonts w:hint="eastAsia"/>
          <w:sz w:val="18"/>
          <w:szCs w:val="18"/>
          <w:highlight w:val="none"/>
        </w:rPr>
        <w:t>提供包括账户开立、资金保管、资金结算、估值核对</w:t>
      </w:r>
      <w:r>
        <w:rPr>
          <w:rFonts w:hint="eastAsia"/>
          <w:sz w:val="18"/>
          <w:szCs w:val="18"/>
          <w:highlight w:val="none"/>
          <w:lang w:eastAsia="zh-CN"/>
        </w:rPr>
        <w:t>、</w:t>
      </w:r>
      <w:r>
        <w:rPr>
          <w:rFonts w:hint="eastAsia"/>
          <w:sz w:val="18"/>
          <w:szCs w:val="18"/>
          <w:highlight w:val="none"/>
        </w:rPr>
        <w:t>办理与理财产品托管业务活动相关的信息披露事项等理财产品托管服务。</w:t>
      </w:r>
    </w:p>
    <w:p>
      <w:pPr>
        <w:adjustRightInd w:val="0"/>
        <w:snapToGrid w:val="0"/>
        <w:spacing w:line="286" w:lineRule="auto"/>
        <w:rPr>
          <w:rFonts w:hint="eastAsia"/>
          <w:b/>
          <w:bCs/>
          <w:sz w:val="18"/>
          <w:szCs w:val="18"/>
          <w:highlight w:val="none"/>
        </w:rPr>
      </w:pPr>
      <w:r>
        <w:rPr>
          <w:rFonts w:hint="eastAsia"/>
          <w:b/>
          <w:bCs/>
          <w:sz w:val="18"/>
          <w:szCs w:val="18"/>
          <w:highlight w:val="none"/>
        </w:rPr>
        <w:t>理财产品估值</w:t>
      </w:r>
    </w:p>
    <w:p>
      <w:pPr>
        <w:adjustRightInd w:val="0"/>
        <w:snapToGrid w:val="0"/>
        <w:spacing w:line="286" w:lineRule="auto"/>
        <w:rPr>
          <w:rFonts w:hint="eastAsia"/>
          <w:sz w:val="18"/>
          <w:szCs w:val="18"/>
          <w:highlight w:val="none"/>
        </w:rPr>
      </w:pPr>
      <w:r>
        <w:rPr>
          <w:rFonts w:hint="eastAsia"/>
          <w:sz w:val="18"/>
          <w:szCs w:val="18"/>
          <w:highlight w:val="none"/>
        </w:rPr>
        <w:t xml:space="preserve">【估值日】 </w:t>
      </w:r>
    </w:p>
    <w:p>
      <w:pPr>
        <w:adjustRightInd w:val="0"/>
        <w:snapToGrid w:val="0"/>
        <w:spacing w:line="286" w:lineRule="auto"/>
        <w:rPr>
          <w:rFonts w:hint="eastAsia"/>
          <w:sz w:val="18"/>
          <w:szCs w:val="18"/>
          <w:highlight w:val="none"/>
        </w:rPr>
      </w:pPr>
      <w:r>
        <w:rPr>
          <w:rFonts w:hint="eastAsia"/>
          <w:sz w:val="18"/>
          <w:szCs w:val="18"/>
          <w:highlight w:val="none"/>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rFonts w:hint="eastAsia"/>
          <w:sz w:val="18"/>
          <w:szCs w:val="18"/>
          <w:highlight w:val="none"/>
        </w:rPr>
      </w:pPr>
      <w:r>
        <w:rPr>
          <w:rFonts w:hint="eastAsia"/>
          <w:sz w:val="18"/>
          <w:szCs w:val="18"/>
          <w:highlight w:val="none"/>
        </w:rPr>
        <w:t>【估值对象】</w:t>
      </w:r>
    </w:p>
    <w:p>
      <w:pPr>
        <w:adjustRightInd w:val="0"/>
        <w:snapToGrid w:val="0"/>
        <w:spacing w:line="286" w:lineRule="auto"/>
        <w:rPr>
          <w:rFonts w:hint="eastAsia"/>
          <w:sz w:val="18"/>
          <w:szCs w:val="18"/>
          <w:highlight w:val="none"/>
        </w:rPr>
      </w:pPr>
      <w:r>
        <w:rPr>
          <w:rFonts w:hint="eastAsia"/>
          <w:sz w:val="18"/>
          <w:szCs w:val="18"/>
          <w:highlight w:val="none"/>
        </w:rPr>
        <w:t xml:space="preserve"> 本理财产品所拥有的投资资产。</w:t>
      </w:r>
    </w:p>
    <w:p>
      <w:pPr>
        <w:adjustRightInd w:val="0"/>
        <w:snapToGrid w:val="0"/>
        <w:spacing w:line="286" w:lineRule="auto"/>
        <w:rPr>
          <w:rFonts w:hint="eastAsia"/>
          <w:sz w:val="18"/>
          <w:szCs w:val="18"/>
          <w:highlight w:val="none"/>
        </w:rPr>
      </w:pPr>
      <w:r>
        <w:rPr>
          <w:rFonts w:hint="eastAsia"/>
          <w:sz w:val="18"/>
          <w:szCs w:val="18"/>
          <w:highlight w:val="none"/>
        </w:rPr>
        <w:t xml:space="preserve">【估值目的】 </w:t>
      </w:r>
    </w:p>
    <w:p>
      <w:pPr>
        <w:adjustRightInd w:val="0"/>
        <w:snapToGrid w:val="0"/>
        <w:spacing w:line="286" w:lineRule="auto"/>
        <w:rPr>
          <w:rFonts w:hint="eastAsia"/>
          <w:sz w:val="18"/>
          <w:szCs w:val="18"/>
          <w:highlight w:val="none"/>
        </w:rPr>
      </w:pPr>
      <w:r>
        <w:rPr>
          <w:rFonts w:hint="eastAsia"/>
          <w:sz w:val="18"/>
          <w:szCs w:val="18"/>
          <w:highlight w:val="none"/>
        </w:rPr>
        <w:t xml:space="preserve">客观、准确反映理财产品的价值。 </w:t>
      </w:r>
    </w:p>
    <w:p>
      <w:pPr>
        <w:adjustRightInd w:val="0"/>
        <w:snapToGrid w:val="0"/>
        <w:spacing w:line="286" w:lineRule="auto"/>
        <w:rPr>
          <w:rFonts w:hint="eastAsia"/>
          <w:sz w:val="18"/>
          <w:szCs w:val="18"/>
          <w:highlight w:val="none"/>
        </w:rPr>
      </w:pPr>
      <w:r>
        <w:rPr>
          <w:rFonts w:hint="eastAsia"/>
          <w:sz w:val="18"/>
          <w:szCs w:val="18"/>
          <w:highlight w:val="none"/>
        </w:rPr>
        <w:t xml:space="preserve">【估值方法】 </w:t>
      </w:r>
    </w:p>
    <w:p>
      <w:pPr>
        <w:adjustRightInd w:val="0"/>
        <w:snapToGrid w:val="0"/>
        <w:spacing w:line="286" w:lineRule="auto"/>
        <w:rPr>
          <w:rFonts w:hint="eastAsia"/>
          <w:sz w:val="18"/>
          <w:szCs w:val="18"/>
          <w:highlight w:val="none"/>
        </w:rPr>
      </w:pPr>
      <w:r>
        <w:rPr>
          <w:rFonts w:hint="eastAsia"/>
          <w:sz w:val="18"/>
          <w:szCs w:val="18"/>
          <w:highlight w:val="none"/>
        </w:rPr>
        <w:t>1、货币市场工具：</w:t>
      </w:r>
    </w:p>
    <w:p>
      <w:pPr>
        <w:adjustRightInd w:val="0"/>
        <w:snapToGrid w:val="0"/>
        <w:spacing w:line="286" w:lineRule="auto"/>
        <w:rPr>
          <w:rFonts w:hint="eastAsia"/>
          <w:sz w:val="18"/>
          <w:szCs w:val="18"/>
          <w:highlight w:val="none"/>
        </w:rPr>
      </w:pPr>
      <w:r>
        <w:rPr>
          <w:rFonts w:hint="eastAsia"/>
          <w:sz w:val="18"/>
          <w:szCs w:val="18"/>
          <w:highlight w:val="none"/>
        </w:rPr>
        <w:t>（1）银行存款类资产</w:t>
      </w:r>
      <w:r>
        <w:rPr>
          <w:rFonts w:hint="eastAsia"/>
          <w:sz w:val="18"/>
          <w:szCs w:val="18"/>
          <w:highlight w:val="none"/>
          <w:lang w:val="en-US" w:eastAsia="zh-CN"/>
        </w:rPr>
        <w:t>及债券回购</w:t>
      </w:r>
      <w:r>
        <w:rPr>
          <w:rFonts w:hint="eastAsia"/>
          <w:sz w:val="18"/>
          <w:szCs w:val="18"/>
          <w:highlight w:val="none"/>
        </w:rPr>
        <w:t>以本金列示、逐日计提利息。</w:t>
      </w:r>
    </w:p>
    <w:p>
      <w:pPr>
        <w:adjustRightInd w:val="0"/>
        <w:snapToGrid w:val="0"/>
        <w:spacing w:line="286" w:lineRule="auto"/>
        <w:rPr>
          <w:rFonts w:hint="eastAsia"/>
          <w:sz w:val="18"/>
          <w:szCs w:val="18"/>
          <w:highlight w:val="none"/>
        </w:rPr>
      </w:pPr>
      <w:r>
        <w:rPr>
          <w:rFonts w:hint="eastAsia"/>
          <w:sz w:val="18"/>
          <w:szCs w:val="18"/>
          <w:highlight w:val="none"/>
        </w:rPr>
        <w:t>（2）货币基金</w:t>
      </w:r>
      <w:r>
        <w:rPr>
          <w:rFonts w:hint="eastAsia"/>
          <w:sz w:val="18"/>
          <w:szCs w:val="18"/>
          <w:highlight w:val="none"/>
          <w:lang w:eastAsia="zh-CN"/>
        </w:rPr>
        <w:t>：</w:t>
      </w:r>
      <w:r>
        <w:rPr>
          <w:rFonts w:hint="eastAsia"/>
          <w:sz w:val="18"/>
          <w:szCs w:val="18"/>
          <w:highlight w:val="none"/>
        </w:rPr>
        <w:t>如基金管理人披露份额净值，则按所投资基金的基金管理人披露的最近估值日份额净值进行估值；如基金管理人披露万份（</w:t>
      </w:r>
      <w:r>
        <w:rPr>
          <w:rFonts w:hint="eastAsia"/>
          <w:sz w:val="18"/>
          <w:szCs w:val="18"/>
          <w:highlight w:val="none"/>
          <w:lang w:val="en-US" w:eastAsia="zh-CN"/>
        </w:rPr>
        <w:t>/</w:t>
      </w:r>
      <w:r>
        <w:rPr>
          <w:rFonts w:hint="eastAsia"/>
          <w:sz w:val="18"/>
          <w:szCs w:val="18"/>
          <w:highlight w:val="none"/>
        </w:rPr>
        <w:t>百份）收益，则按所投资基金前一估值日后至估值日期间（含节假日）的万份（</w:t>
      </w:r>
      <w:r>
        <w:rPr>
          <w:rFonts w:hint="eastAsia"/>
          <w:sz w:val="18"/>
          <w:szCs w:val="18"/>
          <w:highlight w:val="none"/>
          <w:lang w:val="en-US" w:eastAsia="zh-CN"/>
        </w:rPr>
        <w:t>/</w:t>
      </w:r>
      <w:r>
        <w:rPr>
          <w:rFonts w:hint="eastAsia"/>
          <w:sz w:val="18"/>
          <w:szCs w:val="18"/>
          <w:highlight w:val="none"/>
        </w:rPr>
        <w:t xml:space="preserve">百份）收益计提收益。 </w:t>
      </w:r>
    </w:p>
    <w:p>
      <w:pPr>
        <w:adjustRightInd w:val="0"/>
        <w:snapToGrid w:val="0"/>
        <w:spacing w:line="286" w:lineRule="auto"/>
        <w:rPr>
          <w:rFonts w:hint="eastAsia"/>
          <w:sz w:val="18"/>
          <w:szCs w:val="18"/>
          <w:highlight w:val="none"/>
        </w:rPr>
      </w:pPr>
      <w:r>
        <w:rPr>
          <w:rFonts w:hint="eastAsia"/>
          <w:sz w:val="18"/>
          <w:szCs w:val="18"/>
          <w:highlight w:val="none"/>
        </w:rPr>
        <w:t>2、债券类资产：</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（1）以收取合同现金流量为目的并持有到期的债券，在符合监管规定的情况下按摊余成本</w:t>
      </w:r>
      <w:r>
        <w:rPr>
          <w:rFonts w:hint="default"/>
          <w:sz w:val="18"/>
          <w:szCs w:val="18"/>
          <w:highlight w:val="none"/>
          <w:lang w:val="en-US"/>
        </w:rPr>
        <w:t>法</w:t>
      </w:r>
      <w:r>
        <w:rPr>
          <w:rFonts w:hint="eastAsia"/>
          <w:sz w:val="18"/>
          <w:szCs w:val="18"/>
          <w:highlight w:val="none"/>
          <w:lang w:val="en-US" w:eastAsia="zh-CN"/>
        </w:rPr>
        <w:t>计量</w:t>
      </w:r>
      <w:r>
        <w:rPr>
          <w:rFonts w:hint="eastAsia"/>
          <w:sz w:val="18"/>
          <w:szCs w:val="18"/>
          <w:highlight w:val="none"/>
        </w:rPr>
        <w:t>。</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rPr>
        <w:t>（2）</w:t>
      </w:r>
      <w:r>
        <w:rPr>
          <w:rFonts w:hint="eastAsia"/>
          <w:sz w:val="18"/>
          <w:szCs w:val="18"/>
          <w:highlight w:val="none"/>
          <w:lang w:val="en-US" w:eastAsia="zh-CN"/>
        </w:rPr>
        <w:t>其余</w:t>
      </w:r>
      <w:r>
        <w:rPr>
          <w:rFonts w:hint="eastAsia"/>
          <w:sz w:val="18"/>
          <w:szCs w:val="18"/>
          <w:highlight w:val="none"/>
        </w:rPr>
        <w:t>债券</w:t>
      </w:r>
      <w:r>
        <w:rPr>
          <w:rFonts w:hint="eastAsia"/>
          <w:sz w:val="18"/>
          <w:szCs w:val="18"/>
          <w:highlight w:val="none"/>
          <w:lang w:val="en-US" w:eastAsia="zh-CN"/>
        </w:rPr>
        <w:t>类资产</w:t>
      </w:r>
      <w:r>
        <w:rPr>
          <w:rFonts w:hint="eastAsia"/>
          <w:sz w:val="18"/>
          <w:szCs w:val="18"/>
          <w:highlight w:val="none"/>
        </w:rPr>
        <w:t>按市价法估值。</w:t>
      </w:r>
      <w:r>
        <w:rPr>
          <w:rFonts w:hint="eastAsia"/>
          <w:sz w:val="18"/>
          <w:szCs w:val="18"/>
          <w:highlight w:val="none"/>
          <w:lang w:val="en-US" w:eastAsia="zh-CN"/>
        </w:rPr>
        <w:t>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rPr>
        <w:t>3、债权</w:t>
      </w:r>
      <w:r>
        <w:rPr>
          <w:sz w:val="18"/>
          <w:szCs w:val="18"/>
          <w:highlight w:val="none"/>
        </w:rPr>
        <w:t>类资产</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（1）以收取合同现金流量为目的并持有到期的债权类资产，在符合监管规定的情况下按摊余成本法</w:t>
      </w:r>
      <w:r>
        <w:rPr>
          <w:rFonts w:hint="eastAsia"/>
          <w:sz w:val="18"/>
          <w:szCs w:val="18"/>
          <w:highlight w:val="none"/>
          <w:lang w:val="en-US" w:eastAsia="zh-CN"/>
        </w:rPr>
        <w:t>计量</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（2）</w:t>
      </w:r>
      <w:r>
        <w:rPr>
          <w:rFonts w:hint="eastAsia"/>
          <w:sz w:val="18"/>
          <w:szCs w:val="18"/>
          <w:highlight w:val="none"/>
          <w:lang w:val="en-US" w:eastAsia="zh-CN"/>
        </w:rPr>
        <w:t>其余</w:t>
      </w:r>
      <w:r>
        <w:rPr>
          <w:rFonts w:hint="eastAsia"/>
          <w:sz w:val="18"/>
          <w:szCs w:val="18"/>
          <w:highlight w:val="none"/>
        </w:rPr>
        <w:t>债权类资产</w:t>
      </w:r>
      <w:r>
        <w:rPr>
          <w:rFonts w:hint="eastAsia"/>
          <w:sz w:val="18"/>
          <w:szCs w:val="18"/>
          <w:highlight w:val="none"/>
          <w:lang w:val="en-US" w:eastAsia="zh-CN"/>
        </w:rPr>
        <w:t>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rPr>
        <w:t>4、基金</w:t>
      </w:r>
      <w:r>
        <w:rPr>
          <w:rFonts w:hint="eastAsia"/>
          <w:sz w:val="18"/>
          <w:szCs w:val="18"/>
          <w:highlight w:val="none"/>
          <w:lang w:eastAsia="zh-CN"/>
        </w:rPr>
        <w:t>、</w:t>
      </w:r>
      <w:r>
        <w:rPr>
          <w:rFonts w:hint="eastAsia"/>
          <w:sz w:val="18"/>
          <w:szCs w:val="18"/>
          <w:highlight w:val="none"/>
          <w:lang w:val="en-US" w:eastAsia="zh-CN"/>
        </w:rPr>
        <w:t>证券、</w:t>
      </w:r>
      <w:r>
        <w:rPr>
          <w:rFonts w:hint="eastAsia"/>
          <w:sz w:val="18"/>
          <w:szCs w:val="18"/>
          <w:highlight w:val="none"/>
        </w:rPr>
        <w:t>保险等资产管理计划和信托计划等资产（不含货币市场基金）：</w:t>
      </w:r>
    </w:p>
    <w:p>
      <w:pPr>
        <w:adjustRightInd w:val="0"/>
        <w:snapToGrid w:val="0"/>
        <w:spacing w:line="286" w:lineRule="auto"/>
        <w:rPr>
          <w:rFonts w:hint="eastAsia"/>
          <w:sz w:val="18"/>
          <w:szCs w:val="18"/>
          <w:highlight w:val="none"/>
        </w:rPr>
      </w:pPr>
      <w:r>
        <w:rPr>
          <w:rFonts w:hint="eastAsia"/>
          <w:sz w:val="18"/>
          <w:szCs w:val="18"/>
          <w:highlight w:val="none"/>
        </w:rPr>
        <w:t>按照基金、证券</w:t>
      </w:r>
      <w:r>
        <w:rPr>
          <w:rFonts w:hint="eastAsia"/>
          <w:sz w:val="18"/>
          <w:szCs w:val="18"/>
          <w:highlight w:val="none"/>
          <w:lang w:eastAsia="zh-CN"/>
        </w:rPr>
        <w:t>、</w:t>
      </w:r>
      <w:r>
        <w:rPr>
          <w:rFonts w:hint="eastAsia"/>
          <w:sz w:val="18"/>
          <w:szCs w:val="18"/>
          <w:highlight w:val="none"/>
        </w:rPr>
        <w:t>保险等资产管理计划和信托计划的管理人</w:t>
      </w:r>
      <w:r>
        <w:rPr>
          <w:rFonts w:hint="eastAsia"/>
          <w:sz w:val="18"/>
          <w:szCs w:val="18"/>
          <w:highlight w:val="none"/>
          <w:lang w:val="en-US" w:eastAsia="zh-CN"/>
        </w:rPr>
        <w:t>提供</w:t>
      </w:r>
      <w:r>
        <w:rPr>
          <w:rFonts w:hint="eastAsia"/>
          <w:sz w:val="18"/>
          <w:szCs w:val="18"/>
          <w:highlight w:val="none"/>
        </w:rPr>
        <w:t>的最新净值或投资收益进行估值。</w:t>
      </w:r>
    </w:p>
    <w:p>
      <w:pPr>
        <w:adjustRightInd w:val="0"/>
        <w:snapToGrid w:val="0"/>
        <w:spacing w:line="286" w:lineRule="auto"/>
        <w:rPr>
          <w:rFonts w:hint="eastAsia"/>
          <w:sz w:val="18"/>
          <w:szCs w:val="18"/>
          <w:highlight w:val="none"/>
        </w:rPr>
      </w:pPr>
      <w:r>
        <w:rPr>
          <w:rFonts w:hint="eastAsia"/>
          <w:sz w:val="18"/>
          <w:szCs w:val="18"/>
          <w:highlight w:val="none"/>
        </w:rPr>
        <w:t>5、其他资产：</w:t>
      </w:r>
    </w:p>
    <w:p>
      <w:pPr>
        <w:adjustRightInd w:val="0"/>
        <w:snapToGrid w:val="0"/>
        <w:spacing w:line="286" w:lineRule="auto"/>
        <w:rPr>
          <w:rFonts w:hint="eastAsia"/>
          <w:sz w:val="18"/>
          <w:szCs w:val="18"/>
          <w:highlight w:val="none"/>
        </w:rPr>
      </w:pPr>
      <w:r>
        <w:rPr>
          <w:rFonts w:hint="eastAsia"/>
          <w:sz w:val="18"/>
          <w:szCs w:val="18"/>
          <w:highlight w:val="none"/>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highlight w:val="none"/>
        </w:rPr>
      </w:pPr>
      <w:r>
        <w:rPr>
          <w:rFonts w:hint="eastAsia"/>
          <w:sz w:val="18"/>
          <w:szCs w:val="18"/>
          <w:highlight w:val="none"/>
        </w:rPr>
        <w:t>6、其他事项</w:t>
      </w:r>
    </w:p>
    <w:p>
      <w:pPr>
        <w:adjustRightInd w:val="0"/>
        <w:snapToGrid w:val="0"/>
        <w:spacing w:line="286" w:lineRule="auto"/>
        <w:rPr>
          <w:rFonts w:hint="eastAsia"/>
          <w:sz w:val="18"/>
          <w:szCs w:val="18"/>
          <w:highlight w:val="none"/>
        </w:rPr>
      </w:pPr>
      <w:r>
        <w:rPr>
          <w:rFonts w:hint="eastAsia"/>
          <w:sz w:val="18"/>
          <w:szCs w:val="18"/>
          <w:highlight w:val="none"/>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highlight w:val="none"/>
        </w:rPr>
      </w:pPr>
      <w:r>
        <w:rPr>
          <w:rFonts w:hint="eastAsia"/>
          <w:sz w:val="18"/>
          <w:szCs w:val="18"/>
          <w:highlight w:val="none"/>
        </w:rPr>
        <w:t>【估值错误处理】</w:t>
      </w:r>
    </w:p>
    <w:p>
      <w:pPr>
        <w:adjustRightInd w:val="0"/>
        <w:snapToGrid w:val="0"/>
        <w:spacing w:line="286" w:lineRule="auto"/>
        <w:rPr>
          <w:rFonts w:hint="eastAsia"/>
          <w:sz w:val="18"/>
          <w:szCs w:val="18"/>
          <w:highlight w:val="none"/>
        </w:rPr>
      </w:pPr>
      <w:r>
        <w:rPr>
          <w:rFonts w:hint="eastAsia"/>
          <w:sz w:val="18"/>
          <w:szCs w:val="18"/>
          <w:highlight w:val="none"/>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numPr>
          <w:ilvl w:val="0"/>
          <w:numId w:val="0"/>
        </w:numPr>
        <w:adjustRightInd w:val="0"/>
        <w:snapToGrid w:val="0"/>
        <w:spacing w:line="286" w:lineRule="auto"/>
        <w:ind w:left="0" w:firstLine="0" w:firstLineChars="0"/>
        <w:rPr>
          <w:rFonts w:hint="eastAsia" w:ascii="Times New Roman" w:hAnsi="Times New Roman" w:eastAsia="宋体" w:cs="Times New Roman"/>
          <w:sz w:val="18"/>
          <w:szCs w:val="18"/>
          <w:highlight w:val="none"/>
        </w:rPr>
      </w:pPr>
      <w:r>
        <w:rPr>
          <w:rFonts w:hint="eastAsia" w:cs="Times New Roman"/>
          <w:sz w:val="18"/>
          <w:szCs w:val="18"/>
          <w:highlight w:val="none"/>
          <w:lang w:eastAsia="zh-CN"/>
        </w:rPr>
        <w:t>【</w:t>
      </w:r>
      <w:r>
        <w:rPr>
          <w:rFonts w:hint="eastAsia" w:ascii="Times New Roman" w:hAnsi="Times New Roman" w:eastAsia="宋体" w:cs="Times New Roman"/>
          <w:sz w:val="18"/>
          <w:szCs w:val="18"/>
          <w:highlight w:val="none"/>
        </w:rPr>
        <w:t>暂停估值</w:t>
      </w:r>
      <w:r>
        <w:rPr>
          <w:rFonts w:hint="eastAsia" w:cs="Times New Roman"/>
          <w:sz w:val="18"/>
          <w:szCs w:val="18"/>
          <w:highlight w:val="none"/>
          <w:lang w:eastAsia="zh-CN"/>
        </w:rPr>
        <w:t>】</w:t>
      </w:r>
    </w:p>
    <w:p>
      <w:pPr>
        <w:adjustRightInd w:val="0"/>
        <w:snapToGrid w:val="0"/>
        <w:spacing w:line="286" w:lineRule="auto"/>
        <w:ind w:firstLine="0" w:firstLineChars="0"/>
        <w:rPr>
          <w:rFonts w:hint="eastAsia" w:ascii="Times New Roman" w:hAnsi="Times New Roman" w:eastAsia="宋体"/>
          <w:sz w:val="18"/>
          <w:szCs w:val="18"/>
          <w:highlight w:val="none"/>
        </w:rPr>
      </w:pPr>
      <w:r>
        <w:rPr>
          <w:rFonts w:hint="eastAsia" w:ascii="Times New Roman" w:hAnsi="Times New Roman" w:eastAsia="宋体"/>
          <w:sz w:val="18"/>
          <w:szCs w:val="18"/>
          <w:highlight w:val="none"/>
        </w:rPr>
        <w:t>理财产品投资所涉及的证券交易所遇法定节假日或其他原因暂停营业时，或因任何不可抗力致使无法准确评估资产价值时，</w:t>
      </w:r>
      <w:r>
        <w:rPr>
          <w:rFonts w:hint="eastAsia" w:ascii="Times New Roman" w:hAnsi="Times New Roman" w:eastAsia="宋体"/>
          <w:sz w:val="18"/>
          <w:szCs w:val="18"/>
          <w:highlight w:val="none"/>
          <w:lang w:val="en-US" w:eastAsia="zh-CN"/>
        </w:rPr>
        <w:t>或</w:t>
      </w:r>
      <w:r>
        <w:rPr>
          <w:rFonts w:hint="eastAsia" w:eastAsia="宋体"/>
          <w:sz w:val="18"/>
          <w:szCs w:val="18"/>
          <w:highlight w:val="none"/>
          <w:lang w:val="en-US" w:eastAsia="zh-CN"/>
        </w:rPr>
        <w:t>存在中国银保监会认定的导致无法准确估值的其它情形时</w:t>
      </w:r>
      <w:r>
        <w:rPr>
          <w:rFonts w:hint="eastAsia" w:ascii="Times New Roman" w:hAnsi="Times New Roman" w:eastAsia="宋体"/>
          <w:sz w:val="18"/>
          <w:szCs w:val="18"/>
          <w:highlight w:val="none"/>
          <w:lang w:val="en-US" w:eastAsia="zh-CN"/>
        </w:rPr>
        <w:t>，</w:t>
      </w:r>
      <w:r>
        <w:rPr>
          <w:rFonts w:hint="eastAsia" w:ascii="Times New Roman" w:hAnsi="Times New Roman" w:eastAsia="宋体"/>
          <w:sz w:val="18"/>
          <w:szCs w:val="18"/>
          <w:highlight w:val="none"/>
        </w:rPr>
        <w:t>可暂停估值</w:t>
      </w:r>
      <w:r>
        <w:rPr>
          <w:rFonts w:hint="eastAsia" w:eastAsia="宋体"/>
          <w:sz w:val="18"/>
          <w:szCs w:val="18"/>
          <w:highlight w:val="none"/>
          <w:lang w:eastAsia="zh-CN"/>
        </w:rPr>
        <w:t>，</w:t>
      </w:r>
      <w:r>
        <w:rPr>
          <w:rFonts w:hint="eastAsia" w:eastAsia="宋体"/>
          <w:sz w:val="18"/>
          <w:szCs w:val="18"/>
          <w:highlight w:val="none"/>
          <w:lang w:val="en-US" w:eastAsia="zh-CN"/>
        </w:rPr>
        <w:t>由此造成的损失，产品管理人和托管人不承担责任</w:t>
      </w:r>
      <w:r>
        <w:rPr>
          <w:rFonts w:hint="eastAsia" w:ascii="Times New Roman" w:hAnsi="Times New Roman" w:eastAsia="宋体"/>
          <w:sz w:val="18"/>
          <w:szCs w:val="18"/>
          <w:highlight w:val="none"/>
        </w:rPr>
        <w:t>。</w:t>
      </w:r>
    </w:p>
    <w:p>
      <w:pPr>
        <w:adjustRightInd w:val="0"/>
        <w:snapToGrid w:val="0"/>
        <w:spacing w:line="286" w:lineRule="auto"/>
        <w:rPr>
          <w:rFonts w:hint="eastAsia"/>
          <w:b/>
          <w:sz w:val="18"/>
          <w:szCs w:val="18"/>
          <w:highlight w:val="none"/>
        </w:rPr>
      </w:pPr>
      <w:r>
        <w:rPr>
          <w:rFonts w:hint="eastAsia"/>
          <w:b/>
          <w:sz w:val="18"/>
          <w:szCs w:val="18"/>
          <w:highlight w:val="none"/>
        </w:rPr>
        <w:t>理财收益测算及相关费用</w:t>
      </w:r>
    </w:p>
    <w:p>
      <w:pPr>
        <w:adjustRightInd w:val="0"/>
        <w:snapToGrid w:val="0"/>
        <w:spacing w:line="286" w:lineRule="auto"/>
        <w:rPr>
          <w:rFonts w:hint="eastAsia"/>
          <w:sz w:val="18"/>
          <w:szCs w:val="18"/>
          <w:highlight w:val="none"/>
        </w:rPr>
      </w:pPr>
      <w:r>
        <w:rPr>
          <w:rFonts w:hint="eastAsia"/>
          <w:sz w:val="18"/>
          <w:szCs w:val="18"/>
          <w:highlight w:val="none"/>
        </w:rPr>
        <w:t>【理财产品单位净值】</w:t>
      </w:r>
    </w:p>
    <w:p>
      <w:pPr>
        <w:adjustRightInd w:val="0"/>
        <w:snapToGrid w:val="0"/>
        <w:spacing w:line="286" w:lineRule="auto"/>
        <w:rPr>
          <w:rFonts w:hint="eastAsia"/>
          <w:sz w:val="18"/>
          <w:szCs w:val="18"/>
          <w:highlight w:val="none"/>
        </w:rPr>
      </w:pPr>
      <w:r>
        <w:rPr>
          <w:rFonts w:hint="eastAsia"/>
          <w:sz w:val="18"/>
          <w:szCs w:val="18"/>
          <w:highlight w:val="none"/>
        </w:rPr>
        <w:t>理财产品单位净值=理财产品总净值÷理财产品总份额</w:t>
      </w:r>
    </w:p>
    <w:p>
      <w:pPr>
        <w:adjustRightInd w:val="0"/>
        <w:snapToGrid w:val="0"/>
        <w:spacing w:line="286" w:lineRule="auto"/>
        <w:rPr>
          <w:rFonts w:hint="eastAsia"/>
          <w:sz w:val="18"/>
          <w:szCs w:val="18"/>
          <w:highlight w:val="none"/>
        </w:rPr>
      </w:pPr>
      <w:r>
        <w:rPr>
          <w:rFonts w:hint="eastAsia"/>
          <w:sz w:val="18"/>
          <w:szCs w:val="18"/>
          <w:highlight w:val="none"/>
        </w:rPr>
        <w:t>理财产品单位净值为提取相关费用后的净值，客户按该单位净值进行赎回或产品到期终止清算时的分配。</w:t>
      </w:r>
    </w:p>
    <w:p>
      <w:pPr>
        <w:adjustRightInd w:val="0"/>
        <w:snapToGrid w:val="0"/>
        <w:spacing w:line="286" w:lineRule="auto"/>
        <w:rPr>
          <w:sz w:val="18"/>
          <w:szCs w:val="18"/>
          <w:highlight w:val="none"/>
        </w:rPr>
      </w:pPr>
      <w:r>
        <w:rPr>
          <w:rFonts w:hint="eastAsia"/>
          <w:sz w:val="18"/>
          <w:szCs w:val="18"/>
          <w:highlight w:val="none"/>
        </w:rPr>
        <w:t>【理财计划申购、赎回】</w:t>
      </w:r>
    </w:p>
    <w:p>
      <w:pPr>
        <w:adjustRightInd w:val="0"/>
        <w:snapToGrid w:val="0"/>
        <w:spacing w:line="286" w:lineRule="auto"/>
        <w:rPr>
          <w:rFonts w:hint="eastAsia"/>
          <w:sz w:val="18"/>
          <w:szCs w:val="18"/>
          <w:highlight w:val="none"/>
        </w:rPr>
      </w:pPr>
      <w:r>
        <w:rPr>
          <w:sz w:val="18"/>
          <w:szCs w:val="18"/>
          <w:highlight w:val="none"/>
        </w:rPr>
        <w:t>1.</w:t>
      </w:r>
      <w:r>
        <w:rPr>
          <w:rFonts w:hint="eastAsia"/>
          <w:sz w:val="18"/>
          <w:szCs w:val="18"/>
          <w:highlight w:val="none"/>
        </w:rPr>
        <w:t>本理财计划成立日为</w:t>
      </w:r>
      <w:r>
        <w:rPr>
          <w:sz w:val="18"/>
          <w:szCs w:val="18"/>
          <w:highlight w:val="none"/>
        </w:rPr>
        <w:t>20</w:t>
      </w:r>
      <w:r>
        <w:rPr>
          <w:rFonts w:hint="eastAsia"/>
          <w:sz w:val="18"/>
          <w:szCs w:val="18"/>
          <w:highlight w:val="none"/>
        </w:rPr>
        <w:t>20年9月28日。封闭期为2020年9月28日至2020年10月28日。从封闭期结束后，每</w:t>
      </w:r>
      <w:r>
        <w:rPr>
          <w:rFonts w:ascii="宋体" w:hAnsi="宋体"/>
          <w:sz w:val="18"/>
          <w:highlight w:val="none"/>
        </w:rPr>
        <w:t>【</w:t>
      </w:r>
      <w:r>
        <w:rPr>
          <w:rFonts w:hint="eastAsia" w:ascii="宋体" w:hAnsi="宋体"/>
          <w:sz w:val="18"/>
          <w:highlight w:val="none"/>
        </w:rPr>
        <w:t>7</w:t>
      </w:r>
      <w:r>
        <w:rPr>
          <w:rFonts w:ascii="宋体" w:hAnsi="宋体"/>
          <w:sz w:val="18"/>
          <w:highlight w:val="none"/>
        </w:rPr>
        <w:t>】天</w:t>
      </w:r>
      <w:r>
        <w:rPr>
          <w:rFonts w:hint="eastAsia"/>
          <w:sz w:val="18"/>
          <w:szCs w:val="18"/>
          <w:highlight w:val="none"/>
        </w:rPr>
        <w:t>为一个投资运作周期</w:t>
      </w:r>
      <w:r>
        <w:rPr>
          <w:rFonts w:ascii="宋体" w:hAnsi="宋体"/>
          <w:sz w:val="18"/>
          <w:highlight w:val="none"/>
        </w:rPr>
        <w:t>，</w:t>
      </w:r>
      <w:r>
        <w:rPr>
          <w:rFonts w:hint="eastAsia" w:ascii="宋体" w:hAnsi="宋体"/>
          <w:sz w:val="18"/>
          <w:highlight w:val="none"/>
        </w:rPr>
        <w:t>在本理财计划存续期内开放的其他</w:t>
      </w:r>
      <w:r>
        <w:rPr>
          <w:rFonts w:ascii="宋体" w:hAnsi="宋体"/>
          <w:sz w:val="18"/>
          <w:highlight w:val="none"/>
        </w:rPr>
        <w:t>投资周期可能会因非工作日调整大于或小于【</w:t>
      </w:r>
      <w:r>
        <w:rPr>
          <w:rFonts w:hint="eastAsia" w:ascii="宋体" w:hAnsi="宋体"/>
          <w:sz w:val="18"/>
          <w:highlight w:val="none"/>
        </w:rPr>
        <w:t>7</w:t>
      </w:r>
      <w:r>
        <w:rPr>
          <w:rFonts w:ascii="宋体" w:hAnsi="宋体"/>
          <w:sz w:val="18"/>
          <w:highlight w:val="none"/>
        </w:rPr>
        <w:t>】天</w:t>
      </w:r>
      <w:r>
        <w:rPr>
          <w:rFonts w:hint="eastAsia"/>
          <w:sz w:val="18"/>
          <w:szCs w:val="18"/>
          <w:highlight w:val="none"/>
        </w:rPr>
        <w:t>。</w:t>
      </w:r>
    </w:p>
    <w:p>
      <w:pPr>
        <w:adjustRightInd w:val="0"/>
        <w:snapToGrid w:val="0"/>
        <w:spacing w:line="286" w:lineRule="auto"/>
        <w:rPr>
          <w:rFonts w:hint="eastAsia"/>
          <w:sz w:val="18"/>
          <w:szCs w:val="18"/>
          <w:highlight w:val="none"/>
        </w:rPr>
      </w:pPr>
      <w:r>
        <w:rPr>
          <w:sz w:val="18"/>
          <w:szCs w:val="18"/>
          <w:highlight w:val="none"/>
        </w:rPr>
        <w:t>2.</w:t>
      </w:r>
      <w:r>
        <w:rPr>
          <w:rFonts w:hint="eastAsia"/>
          <w:sz w:val="18"/>
          <w:szCs w:val="18"/>
          <w:highlight w:val="none"/>
        </w:rPr>
        <w:t>申购、赎回期：本理财计划存续期内，投资者可在每个投资运作周期的开放期内，向温州银行提交预约申购或预约赎回申请，申购确认日、赎回清算日即为下个投资运作周期的起始日。</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申购、赎回原则</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）投资者赎回本理财计划时，温州银行不承诺保证本金，也不承诺任何收益；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）本理财计划在每个开放期的工作时间可以提交申购和赎回申请，交易申请将在本次开放期后的第一个确认日确认；</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3</w:t>
      </w:r>
      <w:r>
        <w:rPr>
          <w:rFonts w:hint="eastAsia"/>
          <w:sz w:val="18"/>
          <w:szCs w:val="18"/>
          <w:highlight w:val="none"/>
        </w:rPr>
        <w:t>）本理财计划采用金额申购、份额赎回的原则，即申购以金额申请，赎回以份额赎回；</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4</w:t>
      </w:r>
      <w:r>
        <w:rPr>
          <w:rFonts w:hint="eastAsia"/>
          <w:sz w:val="18"/>
          <w:szCs w:val="18"/>
          <w:highlight w:val="none"/>
        </w:rPr>
        <w:t>）因不可抗力导致理财计划无法继续申购或赎回时，温州银行有权拒绝或暂停接受投资者的申购或赎回的申请；</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5</w:t>
      </w:r>
      <w:r>
        <w:rPr>
          <w:rFonts w:hint="eastAsia"/>
          <w:sz w:val="18"/>
          <w:szCs w:val="18"/>
          <w:highlight w:val="none"/>
        </w:rPr>
        <w:t>）投资者可于开放期内向温州银行提出赎回申请，温州银行按照先申请、先赎回原则确认赎回申请，如该赎回日内净赎回份额合计超过理财产品总份额的1</w:t>
      </w:r>
      <w:r>
        <w:rPr>
          <w:sz w:val="18"/>
          <w:szCs w:val="18"/>
          <w:highlight w:val="none"/>
        </w:rPr>
        <w:t>0%，则发生</w:t>
      </w:r>
      <w:r>
        <w:rPr>
          <w:rFonts w:hint="eastAsia"/>
          <w:sz w:val="18"/>
          <w:szCs w:val="18"/>
          <w:highlight w:val="none"/>
        </w:rPr>
        <w:t>巨额赎回事件，温州银行有权拒绝接受超过1</w:t>
      </w:r>
      <w:r>
        <w:rPr>
          <w:sz w:val="18"/>
          <w:szCs w:val="18"/>
          <w:highlight w:val="none"/>
        </w:rPr>
        <w:t>0%以上部分的赎回申请。</w:t>
      </w:r>
    </w:p>
    <w:p>
      <w:pPr>
        <w:adjustRightInd w:val="0"/>
        <w:snapToGrid w:val="0"/>
        <w:spacing w:line="286" w:lineRule="auto"/>
        <w:rPr>
          <w:sz w:val="18"/>
          <w:szCs w:val="18"/>
          <w:highlight w:val="none"/>
        </w:rPr>
      </w:pPr>
      <w:r>
        <w:rPr>
          <w:rFonts w:hint="eastAsia"/>
          <w:sz w:val="18"/>
          <w:szCs w:val="18"/>
          <w:highlight w:val="none"/>
        </w:rPr>
        <w:t>示例：如果最新理财计划总存续份额为1</w:t>
      </w:r>
      <w:r>
        <w:rPr>
          <w:sz w:val="18"/>
          <w:szCs w:val="18"/>
          <w:highlight w:val="none"/>
        </w:rPr>
        <w:t>0</w:t>
      </w:r>
      <w:r>
        <w:rPr>
          <w:rFonts w:hint="eastAsia"/>
          <w:sz w:val="18"/>
          <w:szCs w:val="18"/>
          <w:highlight w:val="none"/>
        </w:rPr>
        <w:t>亿份，在开放期内投资者净赎回达到1亿份，温州银行有权拒绝确认1亿份之后的赎回申请，相应的投资者当期无法赎回理财计划份额。</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6</w:t>
      </w:r>
      <w:r>
        <w:rPr>
          <w:rFonts w:hint="eastAsia"/>
          <w:sz w:val="18"/>
          <w:szCs w:val="18"/>
          <w:highlight w:val="none"/>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7</w:t>
      </w:r>
      <w:r>
        <w:rPr>
          <w:rFonts w:hint="eastAsia"/>
          <w:sz w:val="18"/>
          <w:szCs w:val="18"/>
          <w:highlight w:val="none"/>
        </w:rPr>
        <w:t>）投资者有权部分或全部赎回理财计划份额。全部赎回理财计划份额后，投资者如需再次申购，则申购的金额不得低于人民币</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认购起点</w:instrText>
      </w:r>
      <w:r>
        <w:rPr>
          <w:sz w:val="18"/>
          <w:szCs w:val="18"/>
          <w:highlight w:val="none"/>
        </w:rPr>
        <w:fldChar w:fldCharType="separate"/>
      </w:r>
      <w:r>
        <w:rPr>
          <w:sz w:val="18"/>
          <w:szCs w:val="18"/>
          <w:highlight w:val="none"/>
        </w:rPr>
        <w:t>1</w:t>
      </w:r>
      <w:r>
        <w:rPr>
          <w:rFonts w:hint="eastAsia"/>
          <w:sz w:val="18"/>
          <w:szCs w:val="18"/>
          <w:highlight w:val="none"/>
        </w:rPr>
        <w:t>万</w:t>
      </w:r>
      <w:r>
        <w:rPr>
          <w:sz w:val="18"/>
          <w:szCs w:val="18"/>
          <w:highlight w:val="none"/>
        </w:rPr>
        <w:fldChar w:fldCharType="end"/>
      </w:r>
      <w:r>
        <w:rPr>
          <w:rFonts w:hint="eastAsia"/>
          <w:sz w:val="18"/>
          <w:szCs w:val="18"/>
          <w:highlight w:val="none"/>
        </w:rPr>
        <w:t>元。部分赎回理财计划份额后，投资者如需再行申购，则申购最低金额为人民币</w:t>
      </w:r>
      <w:r>
        <w:rPr>
          <w:sz w:val="18"/>
          <w:szCs w:val="18"/>
          <w:highlight w:val="none"/>
        </w:rPr>
        <w:t>1</w:t>
      </w:r>
      <w:r>
        <w:rPr>
          <w:rFonts w:hint="eastAsia"/>
          <w:sz w:val="18"/>
          <w:szCs w:val="18"/>
          <w:highlight w:val="none"/>
        </w:rPr>
        <w:t>千元或人民币</w:t>
      </w:r>
      <w:r>
        <w:rPr>
          <w:sz w:val="18"/>
          <w:szCs w:val="18"/>
          <w:highlight w:val="none"/>
        </w:rPr>
        <w:t>1</w:t>
      </w:r>
      <w:r>
        <w:rPr>
          <w:rFonts w:hint="eastAsia"/>
          <w:sz w:val="18"/>
          <w:szCs w:val="18"/>
          <w:highlight w:val="none"/>
        </w:rPr>
        <w:t>千元的整数倍。</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8</w:t>
      </w:r>
      <w:r>
        <w:rPr>
          <w:rFonts w:hint="eastAsia"/>
          <w:sz w:val="18"/>
          <w:szCs w:val="18"/>
          <w:highlight w:val="none"/>
        </w:rPr>
        <w:t>）投资者在申购、赎回期内</w:t>
      </w:r>
      <w:r>
        <w:rPr>
          <w:sz w:val="18"/>
          <w:szCs w:val="18"/>
          <w:highlight w:val="none"/>
        </w:rPr>
        <w:t>提交的申购、赎回申请，在</w:t>
      </w:r>
      <w:r>
        <w:rPr>
          <w:rFonts w:hint="eastAsia"/>
          <w:sz w:val="18"/>
          <w:szCs w:val="18"/>
          <w:highlight w:val="none"/>
        </w:rPr>
        <w:t>被温州银行确认成功之前</w:t>
      </w:r>
      <w:r>
        <w:rPr>
          <w:sz w:val="18"/>
          <w:szCs w:val="18"/>
          <w:highlight w:val="none"/>
        </w:rPr>
        <w:t>的</w:t>
      </w:r>
      <w:r>
        <w:rPr>
          <w:rFonts w:hint="eastAsia"/>
          <w:sz w:val="18"/>
          <w:szCs w:val="18"/>
          <w:highlight w:val="none"/>
        </w:rPr>
        <w:t>开放日</w:t>
      </w:r>
      <w:r>
        <w:rPr>
          <w:sz w:val="18"/>
          <w:szCs w:val="18"/>
          <w:highlight w:val="none"/>
        </w:rPr>
        <w:t>的</w:t>
      </w:r>
      <w:r>
        <w:rPr>
          <w:rFonts w:hint="eastAsia"/>
          <w:sz w:val="18"/>
          <w:szCs w:val="18"/>
          <w:highlight w:val="none"/>
        </w:rPr>
        <w:t>交易</w:t>
      </w:r>
      <w:r>
        <w:rPr>
          <w:sz w:val="18"/>
          <w:szCs w:val="18"/>
          <w:highlight w:val="none"/>
        </w:rPr>
        <w:t>时间内</w:t>
      </w:r>
      <w:r>
        <w:rPr>
          <w:rFonts w:hint="eastAsia"/>
          <w:sz w:val="18"/>
          <w:szCs w:val="18"/>
          <w:highlight w:val="none"/>
        </w:rPr>
        <w:t>，可以撤销。</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9</w:t>
      </w:r>
      <w:r>
        <w:rPr>
          <w:rFonts w:hint="eastAsia"/>
          <w:sz w:val="18"/>
          <w:szCs w:val="18"/>
          <w:highlight w:val="none"/>
        </w:rPr>
        <w:t>）如赎回将导致单个投资者的理财计划份额余额不足</w:t>
      </w:r>
      <w:r>
        <w:rPr>
          <w:sz w:val="18"/>
          <w:szCs w:val="18"/>
          <w:highlight w:val="none"/>
        </w:rPr>
        <w:t>10000</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余额起点</w:instrText>
      </w:r>
      <w:r>
        <w:rPr>
          <w:sz w:val="18"/>
          <w:szCs w:val="18"/>
          <w:highlight w:val="none"/>
        </w:rPr>
        <w:fldChar w:fldCharType="end"/>
      </w:r>
      <w:r>
        <w:rPr>
          <w:rFonts w:hint="eastAsia"/>
          <w:sz w:val="18"/>
          <w:szCs w:val="18"/>
          <w:highlight w:val="none"/>
        </w:rPr>
        <w:t>份时，投资者剩余份额将被一次性全额赎回。</w:t>
      </w:r>
    </w:p>
    <w:p>
      <w:pPr>
        <w:adjustRightInd w:val="0"/>
        <w:snapToGrid w:val="0"/>
        <w:spacing w:line="286" w:lineRule="auto"/>
        <w:rPr>
          <w:sz w:val="18"/>
          <w:szCs w:val="18"/>
          <w:highlight w:val="none"/>
        </w:rPr>
      </w:pPr>
      <w:r>
        <w:rPr>
          <w:sz w:val="18"/>
          <w:szCs w:val="18"/>
          <w:highlight w:val="none"/>
        </w:rPr>
        <w:t>5.</w:t>
      </w:r>
      <w:r>
        <w:rPr>
          <w:rFonts w:hint="eastAsia"/>
          <w:sz w:val="18"/>
          <w:szCs w:val="18"/>
          <w:highlight w:val="none"/>
        </w:rPr>
        <w:t>申购、赎回程序</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1）申购、赎回的申请方式</w:t>
      </w:r>
    </w:p>
    <w:p>
      <w:pPr>
        <w:adjustRightInd w:val="0"/>
        <w:snapToGrid w:val="0"/>
        <w:spacing w:line="286" w:lineRule="auto"/>
        <w:rPr>
          <w:sz w:val="18"/>
          <w:szCs w:val="18"/>
          <w:highlight w:val="none"/>
        </w:rPr>
      </w:pPr>
      <w:r>
        <w:rPr>
          <w:rFonts w:hint="eastAsia"/>
          <w:sz w:val="18"/>
          <w:szCs w:val="18"/>
          <w:highlight w:val="none"/>
        </w:rPr>
        <w:t>投资者必须在开放期内提出申购、赎回的申请。</w:t>
      </w:r>
    </w:p>
    <w:p>
      <w:pPr>
        <w:adjustRightInd w:val="0"/>
        <w:snapToGrid w:val="0"/>
        <w:spacing w:line="286" w:lineRule="auto"/>
        <w:rPr>
          <w:sz w:val="18"/>
          <w:szCs w:val="18"/>
          <w:highlight w:val="none"/>
        </w:rPr>
      </w:pPr>
      <w:r>
        <w:rPr>
          <w:rFonts w:hint="eastAsia"/>
          <w:sz w:val="18"/>
          <w:szCs w:val="18"/>
          <w:highlight w:val="none"/>
        </w:rPr>
        <w:t>投资者在提交申购申请时，须备足申购资金。</w:t>
      </w:r>
    </w:p>
    <w:p>
      <w:pPr>
        <w:adjustRightInd w:val="0"/>
        <w:snapToGrid w:val="0"/>
        <w:spacing w:line="286" w:lineRule="auto"/>
        <w:rPr>
          <w:sz w:val="18"/>
          <w:szCs w:val="18"/>
          <w:highlight w:val="none"/>
        </w:rPr>
      </w:pPr>
      <w:r>
        <w:rPr>
          <w:rFonts w:hint="eastAsia"/>
          <w:sz w:val="18"/>
          <w:szCs w:val="18"/>
          <w:highlight w:val="none"/>
        </w:rPr>
        <w:t>投资者提交赎回申请时，必须针对之前持有的可用份额申请</w:t>
      </w:r>
      <w:r>
        <w:rPr>
          <w:sz w:val="18"/>
          <w:szCs w:val="18"/>
          <w:highlight w:val="none"/>
        </w:rPr>
        <w:t>赎回，且必须有足够的理财计划份额余额。</w:t>
      </w:r>
    </w:p>
    <w:p>
      <w:pPr>
        <w:adjustRightInd w:val="0"/>
        <w:snapToGrid w:val="0"/>
        <w:spacing w:line="286" w:lineRule="auto"/>
        <w:rPr>
          <w:sz w:val="18"/>
          <w:szCs w:val="18"/>
          <w:highlight w:val="none"/>
        </w:rPr>
      </w:pPr>
      <w:r>
        <w:rPr>
          <w:rFonts w:hint="eastAsia"/>
          <w:sz w:val="18"/>
          <w:szCs w:val="18"/>
          <w:highlight w:val="none"/>
        </w:rPr>
        <w:t>（2）申购、赎回的支付</w:t>
      </w:r>
    </w:p>
    <w:p>
      <w:pPr>
        <w:adjustRightInd w:val="0"/>
        <w:snapToGrid w:val="0"/>
        <w:spacing w:line="286" w:lineRule="auto"/>
        <w:rPr>
          <w:sz w:val="18"/>
          <w:szCs w:val="18"/>
          <w:highlight w:val="none"/>
        </w:rPr>
      </w:pPr>
      <w:r>
        <w:rPr>
          <w:rFonts w:hint="eastAsia"/>
          <w:sz w:val="18"/>
          <w:szCs w:val="18"/>
          <w:highlight w:val="none"/>
        </w:rPr>
        <w:t>温州</w:t>
      </w:r>
      <w:r>
        <w:rPr>
          <w:sz w:val="18"/>
          <w:szCs w:val="18"/>
          <w:highlight w:val="none"/>
        </w:rPr>
        <w:t>银行在申购</w:t>
      </w:r>
      <w:r>
        <w:rPr>
          <w:rFonts w:hint="eastAsia"/>
          <w:sz w:val="18"/>
          <w:szCs w:val="18"/>
          <w:highlight w:val="none"/>
        </w:rPr>
        <w:t>、</w:t>
      </w:r>
      <w:r>
        <w:rPr>
          <w:sz w:val="18"/>
          <w:szCs w:val="18"/>
          <w:highlight w:val="none"/>
        </w:rPr>
        <w:t>赎回</w:t>
      </w:r>
      <w:r>
        <w:rPr>
          <w:rFonts w:hint="eastAsia"/>
          <w:sz w:val="18"/>
          <w:szCs w:val="18"/>
          <w:highlight w:val="none"/>
        </w:rPr>
        <w:t>确认</w:t>
      </w:r>
      <w:r>
        <w:rPr>
          <w:sz w:val="18"/>
          <w:szCs w:val="18"/>
          <w:highlight w:val="none"/>
        </w:rPr>
        <w:t>日</w:t>
      </w:r>
      <w:r>
        <w:rPr>
          <w:rFonts w:hint="eastAsia"/>
          <w:sz w:val="18"/>
          <w:szCs w:val="18"/>
          <w:highlight w:val="none"/>
        </w:rPr>
        <w:t>进行</w:t>
      </w:r>
      <w:r>
        <w:rPr>
          <w:sz w:val="18"/>
          <w:szCs w:val="18"/>
          <w:highlight w:val="none"/>
        </w:rPr>
        <w:t>投资者</w:t>
      </w:r>
      <w:r>
        <w:rPr>
          <w:rFonts w:hint="eastAsia"/>
          <w:sz w:val="18"/>
          <w:szCs w:val="18"/>
          <w:highlight w:val="none"/>
        </w:rPr>
        <w:t>确认</w:t>
      </w:r>
      <w:r>
        <w:rPr>
          <w:sz w:val="18"/>
          <w:szCs w:val="18"/>
          <w:highlight w:val="none"/>
        </w:rPr>
        <w:t>份额</w:t>
      </w:r>
      <w:r>
        <w:rPr>
          <w:rFonts w:hint="eastAsia"/>
          <w:sz w:val="18"/>
          <w:szCs w:val="18"/>
          <w:highlight w:val="none"/>
        </w:rPr>
        <w:t>并扣减投资者账户资金，扣划款项成功后投资者申购成功</w:t>
      </w:r>
      <w:r>
        <w:rPr>
          <w:sz w:val="18"/>
          <w:szCs w:val="18"/>
          <w:highlight w:val="none"/>
        </w:rPr>
        <w:t>。投资者申购成功后，可在此后</w:t>
      </w:r>
      <w:r>
        <w:rPr>
          <w:rFonts w:hint="eastAsia"/>
          <w:sz w:val="18"/>
          <w:szCs w:val="18"/>
          <w:highlight w:val="none"/>
        </w:rPr>
        <w:t>的开放</w:t>
      </w:r>
      <w:r>
        <w:rPr>
          <w:sz w:val="18"/>
          <w:szCs w:val="18"/>
          <w:highlight w:val="none"/>
        </w:rPr>
        <w:t>赎回期</w:t>
      </w:r>
      <w:r>
        <w:rPr>
          <w:rFonts w:hint="eastAsia"/>
          <w:sz w:val="18"/>
          <w:szCs w:val="18"/>
          <w:highlight w:val="none"/>
        </w:rPr>
        <w:t>内赎回</w:t>
      </w:r>
      <w:r>
        <w:rPr>
          <w:sz w:val="18"/>
          <w:szCs w:val="18"/>
          <w:highlight w:val="none"/>
        </w:rPr>
        <w:t>部分或全部申购份额。</w:t>
      </w:r>
      <w:r>
        <w:rPr>
          <w:rFonts w:hint="eastAsia"/>
          <w:sz w:val="18"/>
          <w:szCs w:val="18"/>
          <w:highlight w:val="none"/>
        </w:rPr>
        <w:t>　</w:t>
      </w:r>
    </w:p>
    <w:p>
      <w:pPr>
        <w:adjustRightInd w:val="0"/>
        <w:snapToGrid w:val="0"/>
        <w:spacing w:line="286" w:lineRule="auto"/>
        <w:rPr>
          <w:sz w:val="18"/>
          <w:szCs w:val="18"/>
          <w:highlight w:val="none"/>
        </w:rPr>
      </w:pPr>
      <w:r>
        <w:rPr>
          <w:rFonts w:hint="eastAsia"/>
          <w:sz w:val="18"/>
          <w:szCs w:val="18"/>
          <w:highlight w:val="none"/>
        </w:rPr>
        <w:t>确认投资者赎回成功后，温州银行在赎回清算日将为投资者扣减份额，并将投资者应得的赎回资金（如有，下同）于赎回清算日后</w:t>
      </w:r>
      <w:r>
        <w:rPr>
          <w:sz w:val="18"/>
          <w:szCs w:val="18"/>
          <w:highlight w:val="none"/>
        </w:rPr>
        <w:t>3</w:t>
      </w:r>
      <w:r>
        <w:rPr>
          <w:rFonts w:hint="eastAsia"/>
          <w:sz w:val="18"/>
          <w:szCs w:val="18"/>
          <w:highlight w:val="none"/>
        </w:rPr>
        <w:t>个工作日内划转至投资者账户。</w:t>
      </w:r>
    </w:p>
    <w:p>
      <w:pPr>
        <w:adjustRightInd w:val="0"/>
        <w:snapToGrid w:val="0"/>
        <w:spacing w:line="286" w:lineRule="auto"/>
        <w:rPr>
          <w:sz w:val="18"/>
          <w:szCs w:val="18"/>
          <w:highlight w:val="none"/>
        </w:rPr>
      </w:pPr>
      <w:r>
        <w:rPr>
          <w:rFonts w:hint="eastAsia"/>
          <w:sz w:val="18"/>
          <w:szCs w:val="18"/>
          <w:highlight w:val="none"/>
        </w:rPr>
        <w:t>6</w:t>
      </w:r>
      <w:r>
        <w:rPr>
          <w:sz w:val="18"/>
          <w:szCs w:val="18"/>
          <w:highlight w:val="none"/>
        </w:rPr>
        <w:t>.</w:t>
      </w:r>
      <w:r>
        <w:rPr>
          <w:rFonts w:hint="eastAsia"/>
          <w:sz w:val="18"/>
          <w:szCs w:val="18"/>
          <w:highlight w:val="none"/>
        </w:rPr>
        <w:t>申购</w:t>
      </w:r>
      <w:r>
        <w:rPr>
          <w:sz w:val="18"/>
          <w:szCs w:val="18"/>
          <w:highlight w:val="none"/>
        </w:rPr>
        <w:t>份额和赎回金额的计算</w:t>
      </w:r>
    </w:p>
    <w:p>
      <w:pPr>
        <w:adjustRightInd w:val="0"/>
        <w:snapToGrid w:val="0"/>
        <w:spacing w:line="286" w:lineRule="auto"/>
        <w:rPr>
          <w:sz w:val="18"/>
          <w:szCs w:val="18"/>
          <w:highlight w:val="none"/>
        </w:rPr>
      </w:pPr>
      <w:r>
        <w:rPr>
          <w:rFonts w:hint="eastAsia"/>
          <w:sz w:val="18"/>
          <w:szCs w:val="18"/>
          <w:highlight w:val="none"/>
        </w:rPr>
        <w:t>（1）申购份额的计算</w:t>
      </w:r>
    </w:p>
    <w:p>
      <w:pPr>
        <w:adjustRightInd w:val="0"/>
        <w:snapToGrid w:val="0"/>
        <w:spacing w:line="286" w:lineRule="auto"/>
        <w:rPr>
          <w:sz w:val="18"/>
          <w:szCs w:val="18"/>
          <w:highlight w:val="none"/>
        </w:rPr>
      </w:pPr>
      <w:r>
        <w:rPr>
          <w:rFonts w:hint="eastAsia"/>
          <w:sz w:val="18"/>
          <w:szCs w:val="18"/>
          <w:highlight w:val="none"/>
        </w:rPr>
        <w:t>本理财计划申购份额的具体计算方法如下：</w:t>
      </w:r>
    </w:p>
    <w:p>
      <w:pPr>
        <w:adjustRightInd w:val="0"/>
        <w:snapToGrid w:val="0"/>
        <w:spacing w:line="286" w:lineRule="auto"/>
        <w:rPr>
          <w:sz w:val="18"/>
          <w:szCs w:val="18"/>
          <w:highlight w:val="none"/>
        </w:rPr>
      </w:pPr>
      <w:r>
        <w:rPr>
          <w:rFonts w:hint="eastAsia"/>
          <w:sz w:val="18"/>
          <w:szCs w:val="18"/>
          <w:highlight w:val="none"/>
        </w:rPr>
        <w:t>申购份额＝申购金额÷申购确认日前一自然日理财计划单位净值</w:t>
      </w:r>
    </w:p>
    <w:p>
      <w:pPr>
        <w:adjustRightInd w:val="0"/>
        <w:snapToGrid w:val="0"/>
        <w:spacing w:line="286" w:lineRule="auto"/>
        <w:rPr>
          <w:sz w:val="18"/>
          <w:szCs w:val="18"/>
          <w:highlight w:val="none"/>
        </w:rPr>
      </w:pPr>
      <w:r>
        <w:rPr>
          <w:rFonts w:hint="eastAsia"/>
          <w:sz w:val="18"/>
          <w:szCs w:val="18"/>
          <w:highlight w:val="none"/>
        </w:rPr>
        <w:t>申购费：本理财计划不收取申购费。</w:t>
      </w:r>
    </w:p>
    <w:p>
      <w:pPr>
        <w:adjustRightInd w:val="0"/>
        <w:snapToGrid w:val="0"/>
        <w:spacing w:line="286" w:lineRule="auto"/>
        <w:rPr>
          <w:sz w:val="18"/>
          <w:szCs w:val="18"/>
          <w:highlight w:val="none"/>
        </w:rPr>
      </w:pPr>
      <w:r>
        <w:rPr>
          <w:rFonts w:hint="eastAsia"/>
          <w:sz w:val="18"/>
          <w:szCs w:val="18"/>
          <w:highlight w:val="none"/>
        </w:rPr>
        <w:t>申购份额保留至小数点后2位（保留2位小数，2位小数点后四舍五入）。</w:t>
      </w:r>
    </w:p>
    <w:p>
      <w:pPr>
        <w:adjustRightInd w:val="0"/>
        <w:snapToGrid w:val="0"/>
        <w:spacing w:line="286" w:lineRule="auto"/>
        <w:rPr>
          <w:sz w:val="18"/>
          <w:szCs w:val="18"/>
          <w:highlight w:val="none"/>
        </w:rPr>
      </w:pPr>
      <w:r>
        <w:rPr>
          <w:rFonts w:hint="eastAsia"/>
          <w:sz w:val="18"/>
          <w:szCs w:val="18"/>
          <w:highlight w:val="none"/>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highlight w:val="none"/>
        </w:rPr>
      </w:pPr>
      <w:r>
        <w:rPr>
          <w:rFonts w:hint="eastAsia"/>
          <w:sz w:val="18"/>
          <w:szCs w:val="18"/>
          <w:highlight w:val="none"/>
        </w:rPr>
        <w:t>申购份数＝100万元人民币÷1.0250＝975609.76份</w:t>
      </w:r>
    </w:p>
    <w:p>
      <w:pPr>
        <w:adjustRightInd w:val="0"/>
        <w:snapToGrid w:val="0"/>
        <w:spacing w:line="286" w:lineRule="auto"/>
        <w:rPr>
          <w:sz w:val="18"/>
          <w:szCs w:val="18"/>
          <w:highlight w:val="none"/>
        </w:rPr>
      </w:pPr>
      <w:r>
        <w:rPr>
          <w:rFonts w:hint="eastAsia"/>
          <w:sz w:val="18"/>
          <w:szCs w:val="18"/>
          <w:highlight w:val="none"/>
        </w:rPr>
        <w:t>申购费＝100万元人民币×0％＝0元人民币</w:t>
      </w:r>
    </w:p>
    <w:p>
      <w:pPr>
        <w:adjustRightInd w:val="0"/>
        <w:snapToGrid w:val="0"/>
        <w:spacing w:line="286" w:lineRule="auto"/>
        <w:rPr>
          <w:sz w:val="18"/>
          <w:szCs w:val="18"/>
          <w:highlight w:val="none"/>
        </w:rPr>
      </w:pPr>
      <w:r>
        <w:rPr>
          <w:rFonts w:hint="eastAsia"/>
          <w:sz w:val="18"/>
          <w:szCs w:val="18"/>
          <w:highlight w:val="none"/>
        </w:rPr>
        <w:t>（2</w:t>
      </w:r>
      <w:r>
        <w:rPr>
          <w:sz w:val="18"/>
          <w:szCs w:val="18"/>
          <w:highlight w:val="none"/>
        </w:rPr>
        <w:t>）</w:t>
      </w:r>
      <w:r>
        <w:rPr>
          <w:rFonts w:hint="eastAsia"/>
          <w:sz w:val="18"/>
          <w:szCs w:val="18"/>
          <w:highlight w:val="none"/>
        </w:rPr>
        <w:t>理财计划赎回金额的计算</w:t>
      </w:r>
    </w:p>
    <w:p>
      <w:pPr>
        <w:adjustRightInd w:val="0"/>
        <w:snapToGrid w:val="0"/>
        <w:spacing w:line="286" w:lineRule="auto"/>
        <w:rPr>
          <w:sz w:val="18"/>
          <w:szCs w:val="18"/>
          <w:highlight w:val="none"/>
        </w:rPr>
      </w:pPr>
      <w:r>
        <w:rPr>
          <w:rFonts w:hint="eastAsia"/>
          <w:sz w:val="18"/>
          <w:szCs w:val="18"/>
          <w:highlight w:val="none"/>
        </w:rPr>
        <w:t>理财计划采用“份额赎回”方式，赎回价格以赎回日的理财计划单位净值为基准进行计算,计算公式如下：</w:t>
      </w:r>
    </w:p>
    <w:p>
      <w:pPr>
        <w:adjustRightInd w:val="0"/>
        <w:snapToGrid w:val="0"/>
        <w:spacing w:line="286" w:lineRule="auto"/>
        <w:rPr>
          <w:sz w:val="18"/>
          <w:szCs w:val="18"/>
          <w:highlight w:val="none"/>
        </w:rPr>
      </w:pPr>
      <w:r>
        <w:rPr>
          <w:rFonts w:hint="eastAsia"/>
          <w:sz w:val="18"/>
          <w:szCs w:val="18"/>
          <w:highlight w:val="none"/>
        </w:rPr>
        <w:t>赎回金额＝总赎回份额×赎回清算日前一自然日理财计划单位净值</w:t>
      </w:r>
    </w:p>
    <w:p>
      <w:pPr>
        <w:adjustRightInd w:val="0"/>
        <w:snapToGrid w:val="0"/>
        <w:spacing w:line="286" w:lineRule="auto"/>
        <w:rPr>
          <w:sz w:val="18"/>
          <w:szCs w:val="18"/>
          <w:highlight w:val="none"/>
        </w:rPr>
      </w:pPr>
      <w:r>
        <w:rPr>
          <w:rFonts w:hint="eastAsia"/>
          <w:sz w:val="18"/>
          <w:szCs w:val="18"/>
          <w:highlight w:val="none"/>
        </w:rPr>
        <w:t>（赎回金额保留2位小数，</w:t>
      </w:r>
      <w:r>
        <w:rPr>
          <w:sz w:val="18"/>
          <w:szCs w:val="18"/>
          <w:highlight w:val="none"/>
        </w:rPr>
        <w:t>2位小数点后</w:t>
      </w:r>
      <w:r>
        <w:rPr>
          <w:rFonts w:hint="eastAsia"/>
          <w:sz w:val="18"/>
          <w:szCs w:val="18"/>
          <w:highlight w:val="none"/>
        </w:rPr>
        <w:t>四舍五入</w:t>
      </w:r>
      <w:r>
        <w:rPr>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赎回费＝赎回金额×赎回费率</w:t>
      </w:r>
    </w:p>
    <w:p>
      <w:pPr>
        <w:adjustRightInd w:val="0"/>
        <w:snapToGrid w:val="0"/>
        <w:spacing w:line="286" w:lineRule="auto"/>
        <w:rPr>
          <w:sz w:val="18"/>
          <w:szCs w:val="18"/>
          <w:highlight w:val="none"/>
        </w:rPr>
      </w:pPr>
      <w:r>
        <w:rPr>
          <w:rFonts w:hint="eastAsia"/>
          <w:sz w:val="18"/>
          <w:szCs w:val="18"/>
          <w:highlight w:val="none"/>
        </w:rPr>
        <w:t>赎回费率为【0】</w:t>
      </w:r>
    </w:p>
    <w:p>
      <w:pPr>
        <w:adjustRightInd w:val="0"/>
        <w:snapToGrid w:val="0"/>
        <w:spacing w:line="286" w:lineRule="auto"/>
        <w:rPr>
          <w:sz w:val="18"/>
          <w:szCs w:val="18"/>
          <w:highlight w:val="none"/>
        </w:rPr>
      </w:pPr>
      <w:r>
        <w:rPr>
          <w:rFonts w:hint="eastAsia"/>
          <w:sz w:val="18"/>
          <w:szCs w:val="18"/>
          <w:highlight w:val="none"/>
        </w:rPr>
        <w:t>投资者应得赎回资金＝赎回金额－赎回费</w:t>
      </w:r>
    </w:p>
    <w:p>
      <w:pPr>
        <w:adjustRightInd w:val="0"/>
        <w:snapToGrid w:val="0"/>
        <w:spacing w:line="286" w:lineRule="auto"/>
        <w:rPr>
          <w:sz w:val="18"/>
          <w:szCs w:val="18"/>
          <w:highlight w:val="none"/>
        </w:rPr>
      </w:pPr>
      <w:r>
        <w:rPr>
          <w:rFonts w:hint="eastAsia"/>
          <w:sz w:val="18"/>
          <w:szCs w:val="18"/>
          <w:highlight w:val="none"/>
        </w:rPr>
        <w:t>示例：假定某投资者赎回100000份理财计划份额，理财计划单位净值为1.0530元人民币时赎回。</w:t>
      </w:r>
    </w:p>
    <w:p>
      <w:pPr>
        <w:adjustRightInd w:val="0"/>
        <w:snapToGrid w:val="0"/>
        <w:spacing w:line="286" w:lineRule="auto"/>
        <w:rPr>
          <w:sz w:val="18"/>
          <w:szCs w:val="18"/>
          <w:highlight w:val="none"/>
        </w:rPr>
      </w:pPr>
      <w:r>
        <w:rPr>
          <w:rFonts w:hint="eastAsia"/>
          <w:sz w:val="18"/>
          <w:szCs w:val="18"/>
          <w:highlight w:val="none"/>
        </w:rPr>
        <w:t>赎回金额＝100000×1.0530＝105300元人民币</w:t>
      </w:r>
    </w:p>
    <w:p>
      <w:pPr>
        <w:adjustRightInd w:val="0"/>
        <w:snapToGrid w:val="0"/>
        <w:spacing w:line="286" w:lineRule="auto"/>
        <w:rPr>
          <w:sz w:val="18"/>
          <w:szCs w:val="18"/>
          <w:highlight w:val="none"/>
        </w:rPr>
      </w:pPr>
      <w:r>
        <w:rPr>
          <w:rFonts w:hint="eastAsia"/>
          <w:sz w:val="18"/>
          <w:szCs w:val="18"/>
          <w:highlight w:val="none"/>
        </w:rPr>
        <w:t>赎回费＝105300×0％＝0元人民币</w:t>
      </w:r>
    </w:p>
    <w:p>
      <w:pPr>
        <w:adjustRightInd w:val="0"/>
        <w:snapToGrid w:val="0"/>
        <w:spacing w:line="286" w:lineRule="auto"/>
        <w:rPr>
          <w:sz w:val="18"/>
          <w:szCs w:val="18"/>
          <w:highlight w:val="none"/>
        </w:rPr>
      </w:pPr>
      <w:r>
        <w:rPr>
          <w:rFonts w:hint="eastAsia"/>
          <w:sz w:val="18"/>
          <w:szCs w:val="18"/>
          <w:highlight w:val="none"/>
        </w:rPr>
        <w:t>投资者应得赎回资金＝105300－0＝</w:t>
      </w:r>
      <w:r>
        <w:rPr>
          <w:sz w:val="18"/>
          <w:szCs w:val="18"/>
          <w:highlight w:val="none"/>
        </w:rPr>
        <w:t>10</w:t>
      </w:r>
      <w:r>
        <w:rPr>
          <w:rFonts w:hint="eastAsia"/>
          <w:sz w:val="18"/>
          <w:szCs w:val="18"/>
          <w:highlight w:val="none"/>
        </w:rPr>
        <w:t>5300元人民币</w:t>
      </w:r>
    </w:p>
    <w:p>
      <w:pPr>
        <w:adjustRightInd w:val="0"/>
        <w:snapToGrid w:val="0"/>
        <w:spacing w:line="286" w:lineRule="auto"/>
        <w:rPr>
          <w:rFonts w:hint="eastAsia"/>
          <w:sz w:val="18"/>
          <w:szCs w:val="18"/>
          <w:highlight w:val="none"/>
        </w:rPr>
      </w:pPr>
      <w:r>
        <w:rPr>
          <w:rFonts w:hint="eastAsia"/>
          <w:sz w:val="18"/>
          <w:szCs w:val="18"/>
          <w:highlight w:val="none"/>
        </w:rPr>
        <w:t>【终止】</w:t>
      </w:r>
    </w:p>
    <w:p>
      <w:pPr>
        <w:adjustRightInd w:val="0"/>
        <w:snapToGrid w:val="0"/>
        <w:spacing w:line="286" w:lineRule="auto"/>
        <w:rPr>
          <w:rFonts w:hint="eastAsia"/>
          <w:color w:val="000000"/>
          <w:sz w:val="18"/>
          <w:highlight w:val="none"/>
        </w:rPr>
      </w:pPr>
      <w:r>
        <w:rPr>
          <w:rFonts w:hint="eastAsia"/>
          <w:sz w:val="18"/>
          <w:szCs w:val="18"/>
          <w:highlight w:val="none"/>
        </w:rPr>
        <w:t>本产品无固定到期日</w:t>
      </w:r>
      <w:r>
        <w:rPr>
          <w:rFonts w:hint="eastAsia"/>
          <w:color w:val="000000"/>
          <w:sz w:val="18"/>
          <w:highlight w:val="none"/>
        </w:rPr>
        <w:t>，本产品存续期内，如发生下列情形之一的，温州银行有权但无义务终止理财计划：</w:t>
      </w:r>
    </w:p>
    <w:p>
      <w:pPr>
        <w:adjustRightInd w:val="0"/>
        <w:snapToGrid w:val="0"/>
        <w:spacing w:line="286" w:lineRule="auto"/>
        <w:rPr>
          <w:rFonts w:hint="eastAsia"/>
          <w:color w:val="000000"/>
          <w:sz w:val="18"/>
          <w:highlight w:val="none"/>
        </w:rPr>
      </w:pPr>
      <w:r>
        <w:rPr>
          <w:rFonts w:hint="eastAsia"/>
          <w:color w:val="000000"/>
          <w:sz w:val="18"/>
          <w:highlight w:val="none"/>
        </w:rPr>
        <w:t>（1）本理财产品余额连续20个工作日低于1亿份；</w:t>
      </w:r>
    </w:p>
    <w:p>
      <w:pPr>
        <w:adjustRightInd w:val="0"/>
        <w:snapToGrid w:val="0"/>
        <w:spacing w:line="286" w:lineRule="auto"/>
        <w:rPr>
          <w:rFonts w:hint="eastAsia"/>
          <w:sz w:val="18"/>
          <w:szCs w:val="18"/>
          <w:highlight w:val="none"/>
        </w:rPr>
      </w:pPr>
      <w:r>
        <w:rPr>
          <w:rFonts w:hint="eastAsia"/>
          <w:sz w:val="18"/>
          <w:szCs w:val="18"/>
          <w:highlight w:val="none"/>
        </w:rPr>
        <w:t>（2）如遇国家金融政策出现重大调整并影响到本产品的正常运行时，温州银行有权终止本产品。</w:t>
      </w:r>
    </w:p>
    <w:p>
      <w:pPr>
        <w:adjustRightInd w:val="0"/>
        <w:snapToGrid w:val="0"/>
        <w:spacing w:line="286" w:lineRule="auto"/>
        <w:rPr>
          <w:rFonts w:hint="eastAsia"/>
          <w:color w:val="000000"/>
          <w:sz w:val="18"/>
          <w:highlight w:val="none"/>
        </w:rPr>
      </w:pPr>
      <w:r>
        <w:rPr>
          <w:rFonts w:hint="eastAsia"/>
          <w:color w:val="000000"/>
          <w:sz w:val="18"/>
          <w:highlight w:val="none"/>
        </w:rPr>
        <w:t>（3）因本理财产品投向的金融资产所涉及的相关主体信用恶化，市场利率大幅下滑，温州银行合理判断将影响本理财产品正常运作的</w:t>
      </w:r>
      <w:r>
        <w:rPr>
          <w:rFonts w:hint="eastAsia"/>
          <w:sz w:val="18"/>
          <w:szCs w:val="18"/>
          <w:highlight w:val="none"/>
        </w:rPr>
        <w:t>，或温州银行有合理理由认为出现了影响本理财计划正常运作的其他情形的</w:t>
      </w:r>
      <w:r>
        <w:rPr>
          <w:rFonts w:hint="eastAsia"/>
          <w:color w:val="000000"/>
          <w:sz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【相关费用】</w:t>
      </w:r>
    </w:p>
    <w:p>
      <w:pPr>
        <w:adjustRightInd w:val="0"/>
        <w:snapToGrid w:val="0"/>
        <w:spacing w:line="286" w:lineRule="auto"/>
        <w:rPr>
          <w:rFonts w:hint="eastAsia"/>
          <w:sz w:val="18"/>
          <w:szCs w:val="18"/>
          <w:highlight w:val="none"/>
        </w:rPr>
      </w:pPr>
      <w:r>
        <w:rPr>
          <w:rFonts w:hint="eastAsia"/>
          <w:sz w:val="18"/>
          <w:szCs w:val="18"/>
          <w:highlight w:val="none"/>
        </w:rPr>
        <w:t>（1）理财管理人的固定管理费</w:t>
      </w:r>
    </w:p>
    <w:p>
      <w:pPr>
        <w:adjustRightInd w:val="0"/>
        <w:snapToGrid w:val="0"/>
        <w:spacing w:line="286" w:lineRule="auto"/>
        <w:rPr>
          <w:rFonts w:hint="eastAsia"/>
          <w:sz w:val="18"/>
          <w:szCs w:val="18"/>
          <w:highlight w:val="none"/>
        </w:rPr>
      </w:pPr>
      <w:r>
        <w:rPr>
          <w:rFonts w:hint="eastAsia"/>
          <w:sz w:val="18"/>
          <w:szCs w:val="18"/>
          <w:highlight w:val="none"/>
        </w:rPr>
        <w:t>理财管理人对委托资产收取的固定管理费，理财计划财产的年固定管理费率为</w:t>
      </w:r>
      <w:r>
        <w:rPr>
          <w:rFonts w:hint="eastAsia"/>
          <w:sz w:val="18"/>
          <w:szCs w:val="18"/>
          <w:highlight w:val="none"/>
          <w:lang w:val="en-US" w:eastAsia="zh-CN"/>
        </w:rPr>
        <w:t>1.0</w:t>
      </w:r>
      <w:r>
        <w:rPr>
          <w:rFonts w:hint="eastAsia"/>
          <w:sz w:val="18"/>
          <w:szCs w:val="18"/>
          <w:highlight w:val="none"/>
        </w:rPr>
        <w:t>%，计算方法如下：</w:t>
      </w:r>
    </w:p>
    <w:p>
      <w:pPr>
        <w:adjustRightInd w:val="0"/>
        <w:snapToGrid w:val="0"/>
        <w:spacing w:line="286" w:lineRule="auto"/>
        <w:rPr>
          <w:rFonts w:hint="eastAsia"/>
          <w:sz w:val="18"/>
          <w:szCs w:val="18"/>
          <w:highlight w:val="none"/>
        </w:rPr>
      </w:pPr>
      <w:r>
        <w:rPr>
          <w:rFonts w:hint="eastAsia"/>
          <w:sz w:val="18"/>
          <w:szCs w:val="18"/>
          <w:highlight w:val="none"/>
        </w:rPr>
        <w:t>H＝E×</w:t>
      </w:r>
      <w:r>
        <w:rPr>
          <w:rFonts w:hint="eastAsia"/>
          <w:sz w:val="18"/>
          <w:szCs w:val="18"/>
          <w:highlight w:val="none"/>
          <w:lang w:val="en-US" w:eastAsia="zh-CN"/>
        </w:rPr>
        <w:t>1.0</w:t>
      </w:r>
      <w:r>
        <w:rPr>
          <w:rFonts w:hint="eastAsia"/>
          <w:sz w:val="18"/>
          <w:szCs w:val="18"/>
          <w:highlight w:val="none"/>
        </w:rPr>
        <w:t>%÷365</w:t>
      </w:r>
    </w:p>
    <w:p>
      <w:pPr>
        <w:adjustRightInd w:val="0"/>
        <w:snapToGrid w:val="0"/>
        <w:spacing w:line="286" w:lineRule="auto"/>
        <w:rPr>
          <w:rFonts w:hint="eastAsia"/>
          <w:sz w:val="18"/>
          <w:szCs w:val="18"/>
          <w:highlight w:val="none"/>
        </w:rPr>
      </w:pPr>
      <w:r>
        <w:rPr>
          <w:rFonts w:hint="eastAsia"/>
          <w:sz w:val="18"/>
          <w:szCs w:val="18"/>
          <w:highlight w:val="none"/>
        </w:rPr>
        <w:t>H为每日应计提的固定管理费</w:t>
      </w:r>
    </w:p>
    <w:p>
      <w:pPr>
        <w:adjustRightInd w:val="0"/>
        <w:snapToGrid w:val="0"/>
        <w:spacing w:line="286" w:lineRule="auto"/>
        <w:rPr>
          <w:rFonts w:hint="eastAsia"/>
          <w:sz w:val="18"/>
          <w:szCs w:val="18"/>
          <w:highlight w:val="none"/>
        </w:rPr>
      </w:pPr>
      <w:r>
        <w:rPr>
          <w:rFonts w:hint="eastAsia"/>
          <w:sz w:val="18"/>
          <w:szCs w:val="18"/>
          <w:highlight w:val="none"/>
        </w:rPr>
        <w:t>E为本计划前一自然日资产净值，第一日固定管理费=第一日理财产品本金余额×固定管理费率÷365。</w:t>
      </w:r>
    </w:p>
    <w:p>
      <w:pPr>
        <w:adjustRightInd w:val="0"/>
        <w:snapToGrid w:val="0"/>
        <w:spacing w:line="286" w:lineRule="auto"/>
        <w:rPr>
          <w:rFonts w:hint="eastAsia"/>
          <w:sz w:val="18"/>
          <w:szCs w:val="18"/>
          <w:highlight w:val="none"/>
        </w:rPr>
      </w:pPr>
      <w:r>
        <w:rPr>
          <w:rFonts w:hint="eastAsia"/>
          <w:sz w:val="18"/>
          <w:szCs w:val="18"/>
          <w:highlight w:val="none"/>
        </w:rPr>
        <w:t>固定管理费原则上按日计提，管理人有权根据理财计划实际运作情况对已计提的固定管理费余额从理财计划财产中扣除，并有权根据理财计划实际运作情况减免部分或全部固定管理费。</w:t>
      </w:r>
    </w:p>
    <w:p>
      <w:pPr>
        <w:adjustRightInd w:val="0"/>
        <w:snapToGrid w:val="0"/>
        <w:spacing w:line="286" w:lineRule="auto"/>
        <w:rPr>
          <w:rFonts w:hint="eastAsia"/>
          <w:sz w:val="18"/>
          <w:szCs w:val="18"/>
          <w:highlight w:val="none"/>
        </w:rPr>
      </w:pPr>
      <w:r>
        <w:rPr>
          <w:rFonts w:hint="eastAsia"/>
          <w:sz w:val="18"/>
          <w:szCs w:val="18"/>
          <w:highlight w:val="none"/>
        </w:rPr>
        <w:t>（2）理财管理人的浮动管理费</w:t>
      </w:r>
    </w:p>
    <w:p>
      <w:pPr>
        <w:adjustRightInd w:val="0"/>
        <w:snapToGrid w:val="0"/>
        <w:spacing w:line="286" w:lineRule="auto"/>
        <w:rPr>
          <w:rFonts w:hint="eastAsia"/>
          <w:sz w:val="18"/>
          <w:szCs w:val="18"/>
          <w:highlight w:val="none"/>
        </w:rPr>
      </w:pPr>
      <w:r>
        <w:rPr>
          <w:rFonts w:hint="eastAsia"/>
          <w:sz w:val="18"/>
          <w:szCs w:val="18"/>
          <w:highlight w:val="none"/>
        </w:rPr>
        <w:t>理财管理人对委托资产收取的浮动管理费，按每自然日计提，计算方法如下：</w:t>
      </w:r>
    </w:p>
    <w:p>
      <w:pPr>
        <w:adjustRightInd w:val="0"/>
        <w:snapToGrid w:val="0"/>
        <w:spacing w:line="286" w:lineRule="auto"/>
        <w:rPr>
          <w:sz w:val="18"/>
          <w:szCs w:val="18"/>
          <w:highlight w:val="none"/>
        </w:rPr>
      </w:pPr>
      <w:r>
        <w:rPr>
          <w:rFonts w:hint="eastAsia"/>
          <w:sz w:val="18"/>
          <w:szCs w:val="18"/>
          <w:highlight w:val="none"/>
        </w:rPr>
        <w:t>F=（Y-A×R÷365）×80%</w:t>
      </w:r>
    </w:p>
    <w:p>
      <w:pPr>
        <w:adjustRightInd w:val="0"/>
        <w:snapToGrid w:val="0"/>
        <w:spacing w:line="286" w:lineRule="auto"/>
        <w:rPr>
          <w:rFonts w:hint="eastAsia"/>
          <w:sz w:val="18"/>
          <w:szCs w:val="18"/>
          <w:highlight w:val="none"/>
        </w:rPr>
      </w:pPr>
      <w:r>
        <w:rPr>
          <w:rFonts w:hint="eastAsia"/>
          <w:sz w:val="18"/>
          <w:szCs w:val="18"/>
          <w:highlight w:val="none"/>
        </w:rPr>
        <w:t>其中：</w:t>
      </w:r>
    </w:p>
    <w:p>
      <w:pPr>
        <w:adjustRightInd w:val="0"/>
        <w:snapToGrid w:val="0"/>
        <w:spacing w:line="286" w:lineRule="auto"/>
        <w:rPr>
          <w:sz w:val="18"/>
          <w:szCs w:val="18"/>
          <w:highlight w:val="none"/>
        </w:rPr>
      </w:pPr>
      <w:r>
        <w:rPr>
          <w:rFonts w:hint="eastAsia"/>
          <w:sz w:val="18"/>
          <w:szCs w:val="18"/>
          <w:highlight w:val="none"/>
        </w:rPr>
        <w:t>F为每日应计提的浮动管理费，当计提后的浮动管理费余额小于0时，则当日不再予以计提，即当日浮动管理费余额为0。</w:t>
      </w:r>
    </w:p>
    <w:p>
      <w:pPr>
        <w:adjustRightInd w:val="0"/>
        <w:snapToGrid w:val="0"/>
        <w:spacing w:line="286" w:lineRule="auto"/>
        <w:rPr>
          <w:sz w:val="18"/>
          <w:szCs w:val="18"/>
          <w:highlight w:val="none"/>
        </w:rPr>
      </w:pPr>
      <w:r>
        <w:rPr>
          <w:rFonts w:hint="eastAsia"/>
          <w:sz w:val="18"/>
          <w:szCs w:val="18"/>
          <w:highlight w:val="none"/>
        </w:rPr>
        <w:t>Y为当日扣除浮动管理费前的当日资产收益</w:t>
      </w:r>
    </w:p>
    <w:p>
      <w:pPr>
        <w:adjustRightInd w:val="0"/>
        <w:snapToGrid w:val="0"/>
        <w:spacing w:line="286" w:lineRule="auto"/>
        <w:rPr>
          <w:sz w:val="18"/>
          <w:szCs w:val="18"/>
          <w:highlight w:val="none"/>
        </w:rPr>
      </w:pPr>
      <w:r>
        <w:rPr>
          <w:rFonts w:hint="eastAsia"/>
          <w:sz w:val="18"/>
          <w:szCs w:val="18"/>
          <w:highlight w:val="none"/>
        </w:rPr>
        <w:t>A为上一日理财产品的单位净值×当日产品份额余额</w:t>
      </w:r>
    </w:p>
    <w:p>
      <w:pPr>
        <w:adjustRightInd w:val="0"/>
        <w:snapToGrid w:val="0"/>
        <w:spacing w:line="286" w:lineRule="auto"/>
        <w:rPr>
          <w:rFonts w:hint="eastAsia" w:eastAsia="宋体"/>
          <w:sz w:val="18"/>
          <w:szCs w:val="18"/>
          <w:highlight w:val="none"/>
          <w:lang w:eastAsia="zh-CN"/>
        </w:rPr>
      </w:pPr>
      <w:r>
        <w:rPr>
          <w:rFonts w:hint="eastAsia"/>
          <w:sz w:val="18"/>
          <w:szCs w:val="18"/>
          <w:highlight w:val="none"/>
        </w:rPr>
        <w:t>R为当日的业绩比较基准</w:t>
      </w:r>
      <w:r>
        <w:rPr>
          <w:rFonts w:hint="eastAsia"/>
          <w:sz w:val="18"/>
          <w:szCs w:val="18"/>
          <w:highlight w:val="none"/>
          <w:lang w:eastAsia="zh-CN"/>
        </w:rPr>
        <w:t>，</w:t>
      </w:r>
      <w:r>
        <w:rPr>
          <w:rFonts w:hint="eastAsia"/>
          <w:color w:val="auto"/>
          <w:sz w:val="18"/>
          <w:szCs w:val="18"/>
          <w:highlight w:val="none"/>
        </w:rPr>
        <w:t>若业绩比较基准存在区间范围的，则为业绩比较基准区间</w:t>
      </w:r>
      <w:r>
        <w:rPr>
          <w:rFonts w:hint="eastAsia"/>
          <w:color w:val="auto"/>
          <w:sz w:val="18"/>
          <w:szCs w:val="18"/>
          <w:highlight w:val="none"/>
          <w:lang w:val="en-US" w:eastAsia="zh-CN"/>
        </w:rPr>
        <w:t>均值</w:t>
      </w:r>
      <w:r>
        <w:rPr>
          <w:color w:val="auto"/>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highlight w:val="none"/>
        </w:rPr>
      </w:pPr>
      <w:r>
        <w:rPr>
          <w:rFonts w:hint="eastAsia"/>
          <w:sz w:val="18"/>
          <w:szCs w:val="18"/>
          <w:highlight w:val="none"/>
        </w:rPr>
        <w:t>注：计算过程不保留位数，最终浮动管理费保留2位小数。</w:t>
      </w:r>
    </w:p>
    <w:p>
      <w:pPr>
        <w:adjustRightInd w:val="0"/>
        <w:snapToGrid w:val="0"/>
        <w:spacing w:line="286" w:lineRule="auto"/>
        <w:rPr>
          <w:rFonts w:hint="eastAsia"/>
          <w:sz w:val="18"/>
          <w:szCs w:val="18"/>
          <w:highlight w:val="none"/>
        </w:rPr>
      </w:pPr>
      <w:r>
        <w:rPr>
          <w:rFonts w:hint="eastAsia"/>
          <w:sz w:val="18"/>
          <w:szCs w:val="18"/>
          <w:highlight w:val="none"/>
        </w:rPr>
        <w:t>（3）理财托管人的托管费</w:t>
      </w:r>
    </w:p>
    <w:p>
      <w:pPr>
        <w:adjustRightInd w:val="0"/>
        <w:snapToGrid w:val="0"/>
        <w:spacing w:line="286" w:lineRule="auto"/>
        <w:rPr>
          <w:rFonts w:hint="eastAsia"/>
          <w:sz w:val="18"/>
          <w:szCs w:val="18"/>
          <w:highlight w:val="none"/>
        </w:rPr>
      </w:pPr>
      <w:r>
        <w:rPr>
          <w:rFonts w:hint="eastAsia"/>
          <w:sz w:val="18"/>
          <w:szCs w:val="18"/>
          <w:highlight w:val="none"/>
        </w:rPr>
        <w:t>理财计划财产的年托管费率为0.005%，计算方法如下：</w:t>
      </w:r>
    </w:p>
    <w:p>
      <w:pPr>
        <w:adjustRightInd w:val="0"/>
        <w:snapToGrid w:val="0"/>
        <w:spacing w:line="286" w:lineRule="auto"/>
        <w:rPr>
          <w:rFonts w:hint="eastAsia"/>
          <w:sz w:val="18"/>
          <w:szCs w:val="18"/>
          <w:highlight w:val="none"/>
        </w:rPr>
      </w:pPr>
      <w:r>
        <w:rPr>
          <w:rFonts w:hint="eastAsia"/>
          <w:sz w:val="18"/>
          <w:szCs w:val="18"/>
          <w:highlight w:val="none"/>
        </w:rPr>
        <w:t>H＝E×0.005％÷365</w:t>
      </w:r>
    </w:p>
    <w:p>
      <w:pPr>
        <w:adjustRightInd w:val="0"/>
        <w:snapToGrid w:val="0"/>
        <w:spacing w:line="286" w:lineRule="auto"/>
        <w:rPr>
          <w:rFonts w:hint="eastAsia"/>
          <w:sz w:val="18"/>
          <w:szCs w:val="18"/>
          <w:highlight w:val="none"/>
        </w:rPr>
      </w:pPr>
      <w:r>
        <w:rPr>
          <w:rFonts w:hint="eastAsia"/>
          <w:sz w:val="18"/>
          <w:szCs w:val="18"/>
          <w:highlight w:val="none"/>
        </w:rPr>
        <w:t>H为每日应计提的托管费</w:t>
      </w:r>
    </w:p>
    <w:p>
      <w:pPr>
        <w:adjustRightInd w:val="0"/>
        <w:snapToGrid w:val="0"/>
        <w:spacing w:line="286" w:lineRule="auto"/>
        <w:rPr>
          <w:rFonts w:hint="eastAsia"/>
          <w:sz w:val="18"/>
          <w:szCs w:val="18"/>
          <w:highlight w:val="none"/>
        </w:rPr>
      </w:pPr>
      <w:r>
        <w:rPr>
          <w:rFonts w:hint="eastAsia"/>
          <w:sz w:val="18"/>
          <w:szCs w:val="18"/>
          <w:highlight w:val="none"/>
        </w:rPr>
        <w:t>E为本计划前一自然日资产净值，第一日托管费=第一日理财产品本金余额×托管费率÷365。</w:t>
      </w:r>
    </w:p>
    <w:p>
      <w:pPr>
        <w:adjustRightInd w:val="0"/>
        <w:snapToGrid w:val="0"/>
        <w:spacing w:line="286" w:lineRule="auto"/>
        <w:rPr>
          <w:rFonts w:hint="eastAsia"/>
          <w:sz w:val="18"/>
          <w:szCs w:val="18"/>
          <w:highlight w:val="none"/>
        </w:rPr>
      </w:pPr>
      <w:r>
        <w:rPr>
          <w:rFonts w:hint="eastAsia"/>
          <w:sz w:val="18"/>
          <w:szCs w:val="18"/>
          <w:highlight w:val="none"/>
        </w:rPr>
        <w:t>托管费原则上按日计提，逐日累计至每季度最后一个自然月的15日（如遇法定节假日顺延）从理财计划财产中扣除。</w:t>
      </w:r>
    </w:p>
    <w:p>
      <w:pPr>
        <w:adjustRightInd w:val="0"/>
        <w:snapToGrid w:val="0"/>
        <w:spacing w:line="286" w:lineRule="auto"/>
        <w:rPr>
          <w:rFonts w:hint="eastAsia"/>
          <w:sz w:val="18"/>
          <w:szCs w:val="18"/>
          <w:highlight w:val="none"/>
        </w:rPr>
      </w:pPr>
      <w:r>
        <w:rPr>
          <w:rFonts w:hint="eastAsia"/>
          <w:sz w:val="18"/>
          <w:szCs w:val="18"/>
          <w:highlight w:val="none"/>
        </w:rPr>
        <w:t>（4）其他费用（如有）：交易费用（包括但不限于交易佣金、撮合费用等）、理财计划估值服务费、理财计划验资费、审计费、律师费、信息披露费、清算费、执行费用等相关费用，具体以实际发生为准。</w:t>
      </w:r>
    </w:p>
    <w:p>
      <w:pPr>
        <w:adjustRightInd w:val="0"/>
        <w:snapToGrid w:val="0"/>
        <w:spacing w:line="286" w:lineRule="auto"/>
        <w:rPr>
          <w:sz w:val="18"/>
          <w:szCs w:val="18"/>
          <w:highlight w:val="none"/>
        </w:rPr>
      </w:pPr>
      <w:r>
        <w:rPr>
          <w:rFonts w:hint="eastAsia"/>
          <w:sz w:val="18"/>
          <w:szCs w:val="18"/>
          <w:highlight w:val="none"/>
        </w:rPr>
        <w:t>【本金及理财收益风险】</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）本理财计划不保障本金及收益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）风险示例</w:t>
      </w:r>
    </w:p>
    <w:p>
      <w:pPr>
        <w:adjustRightInd w:val="0"/>
        <w:snapToGrid w:val="0"/>
        <w:spacing w:line="286" w:lineRule="auto"/>
        <w:rPr>
          <w:sz w:val="18"/>
          <w:szCs w:val="18"/>
          <w:highlight w:val="none"/>
        </w:rPr>
      </w:pPr>
      <w:r>
        <w:rPr>
          <w:rFonts w:hint="eastAsia"/>
          <w:sz w:val="18"/>
          <w:szCs w:val="18"/>
          <w:highlight w:val="none"/>
        </w:rPr>
        <w:t>本理财计划本金及实际理财年化收益率取决于所投资资产组合的收益率水平，受</w:t>
      </w:r>
      <w:r>
        <w:rPr>
          <w:rFonts w:ascii="宋体" w:hAnsi="宋体"/>
          <w:sz w:val="18"/>
          <w:szCs w:val="18"/>
          <w:highlight w:val="none"/>
        </w:rPr>
        <w:t>债券市场变化或波动</w:t>
      </w:r>
      <w:r>
        <w:rPr>
          <w:rFonts w:hint="eastAsia"/>
          <w:sz w:val="18"/>
          <w:szCs w:val="18"/>
          <w:highlight w:val="none"/>
        </w:rPr>
        <w:t>，投资管理方投资能力有限等因素的影响。</w:t>
      </w:r>
    </w:p>
    <w:p>
      <w:pPr>
        <w:adjustRightInd w:val="0"/>
        <w:snapToGrid w:val="0"/>
        <w:spacing w:line="286" w:lineRule="auto"/>
        <w:rPr>
          <w:sz w:val="18"/>
          <w:szCs w:val="18"/>
          <w:highlight w:val="none"/>
        </w:rPr>
      </w:pPr>
      <w:r>
        <w:rPr>
          <w:rFonts w:hint="eastAsia"/>
          <w:sz w:val="18"/>
          <w:szCs w:val="18"/>
          <w:highlight w:val="none"/>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本理财计划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b/>
          <w:sz w:val="18"/>
          <w:szCs w:val="18"/>
          <w:highlight w:val="none"/>
        </w:rPr>
      </w:pPr>
      <w:r>
        <w:rPr>
          <w:rFonts w:hint="eastAsia"/>
          <w:b/>
          <w:sz w:val="18"/>
          <w:szCs w:val="18"/>
          <w:highlight w:val="none"/>
        </w:rPr>
        <w:t>理财</w:t>
      </w:r>
      <w:r>
        <w:rPr>
          <w:b/>
          <w:sz w:val="18"/>
          <w:szCs w:val="18"/>
          <w:highlight w:val="none"/>
        </w:rPr>
        <w:t>计划利益分配</w:t>
      </w:r>
    </w:p>
    <w:p>
      <w:pPr>
        <w:adjustRightInd w:val="0"/>
        <w:snapToGrid w:val="0"/>
        <w:spacing w:line="286" w:lineRule="auto"/>
        <w:rPr>
          <w:rFonts w:hint="eastAsia"/>
          <w:sz w:val="18"/>
          <w:szCs w:val="18"/>
          <w:highlight w:val="none"/>
        </w:rPr>
      </w:pPr>
      <w:r>
        <w:rPr>
          <w:sz w:val="18"/>
          <w:szCs w:val="18"/>
          <w:highlight w:val="none"/>
        </w:rPr>
        <w:t>1.</w:t>
      </w:r>
      <w:r>
        <w:rPr>
          <w:rFonts w:hint="eastAsia"/>
          <w:sz w:val="18"/>
          <w:szCs w:val="18"/>
          <w:highlight w:val="none"/>
        </w:rPr>
        <w:t>本理财计划不定期进行收益分配。收益分配方式分两种：现金分红与红利再投资。温州银行可选择现金红利分配或将现金红利自动转为基金份额进行再投资的方式进行收益分配。温州银行应在收益分配日前1个工作日公告收益分配方案。</w:t>
      </w:r>
    </w:p>
    <w:p>
      <w:pPr>
        <w:adjustRightInd w:val="0"/>
        <w:snapToGrid w:val="0"/>
        <w:spacing w:line="286" w:lineRule="auto"/>
        <w:rPr>
          <w:sz w:val="18"/>
          <w:szCs w:val="18"/>
          <w:highlight w:val="none"/>
        </w:rPr>
      </w:pPr>
      <w:r>
        <w:rPr>
          <w:rFonts w:hint="eastAsia"/>
          <w:sz w:val="18"/>
          <w:szCs w:val="18"/>
          <w:highlight w:val="none"/>
        </w:rPr>
        <w:t>2.投资者持有本理财计划期间，温州银行不承诺保证本金安全且不保证理财收益，投资者在到期日的应得收益（如有）随投资盈亏水平浮动。</w:t>
      </w:r>
    </w:p>
    <w:p>
      <w:pPr>
        <w:adjustRightInd w:val="0"/>
        <w:snapToGrid w:val="0"/>
        <w:spacing w:line="286" w:lineRule="auto"/>
        <w:rPr>
          <w:sz w:val="18"/>
          <w:szCs w:val="18"/>
          <w:highlight w:val="none"/>
        </w:rPr>
      </w:pPr>
      <w:r>
        <w:rPr>
          <w:rFonts w:hint="eastAsia"/>
          <w:sz w:val="18"/>
          <w:szCs w:val="18"/>
          <w:highlight w:val="none"/>
        </w:rPr>
        <w:t>3.理财计划终止时，如理财计划项下财产全部变现，温州银行在理财计划终止日后</w:t>
      </w:r>
      <w:r>
        <w:rPr>
          <w:sz w:val="18"/>
          <w:szCs w:val="18"/>
          <w:highlight w:val="none"/>
        </w:rPr>
        <w:t>5</w:t>
      </w:r>
      <w:r>
        <w:rPr>
          <w:rFonts w:hint="eastAsia"/>
          <w:sz w:val="18"/>
          <w:szCs w:val="18"/>
          <w:highlight w:val="none"/>
        </w:rPr>
        <w:t>个工作日内将投资者应得资金划转至投资者账户。清算期超过5日的，温州银行</w:t>
      </w:r>
      <w:r>
        <w:rPr>
          <w:sz w:val="18"/>
          <w:szCs w:val="18"/>
          <w:highlight w:val="none"/>
        </w:rPr>
        <w:t>将提前2个工作日</w:t>
      </w:r>
      <w:r>
        <w:rPr>
          <w:rFonts w:hint="eastAsia"/>
          <w:sz w:val="18"/>
          <w:szCs w:val="18"/>
          <w:highlight w:val="none"/>
        </w:rPr>
        <w:t>根据约定方式进行</w:t>
      </w:r>
      <w:r>
        <w:rPr>
          <w:sz w:val="18"/>
          <w:szCs w:val="18"/>
          <w:highlight w:val="none"/>
        </w:rPr>
        <w:t>信息披露</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4.理财计划在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highlight w:val="none"/>
        </w:rPr>
        <w:t>工作日内</w:t>
      </w:r>
      <w:r>
        <w:rPr>
          <w:rFonts w:hint="eastAsia"/>
          <w:sz w:val="18"/>
          <w:szCs w:val="18"/>
          <w:highlight w:val="none"/>
        </w:rPr>
        <w:t>，扣除应由理财计划承担的费用</w:t>
      </w:r>
      <w:r>
        <w:rPr>
          <w:sz w:val="18"/>
          <w:szCs w:val="18"/>
          <w:highlight w:val="none"/>
        </w:rPr>
        <w:t>、</w:t>
      </w:r>
      <w:r>
        <w:rPr>
          <w:rFonts w:hint="eastAsia"/>
          <w:sz w:val="18"/>
          <w:szCs w:val="18"/>
          <w:highlight w:val="none"/>
        </w:rPr>
        <w:t>税费后向投资者分配。</w:t>
      </w:r>
    </w:p>
    <w:p>
      <w:pPr>
        <w:adjustRightInd w:val="0"/>
        <w:snapToGrid w:val="0"/>
        <w:spacing w:line="286" w:lineRule="auto"/>
        <w:rPr>
          <w:b/>
          <w:sz w:val="18"/>
          <w:szCs w:val="18"/>
          <w:highlight w:val="none"/>
        </w:rPr>
      </w:pPr>
      <w:r>
        <w:rPr>
          <w:rFonts w:hint="eastAsia"/>
          <w:b/>
          <w:sz w:val="18"/>
          <w:szCs w:val="18"/>
          <w:highlight w:val="none"/>
        </w:rPr>
        <w:t>税费规定</w:t>
      </w:r>
    </w:p>
    <w:p>
      <w:pPr>
        <w:adjustRightInd w:val="0"/>
        <w:snapToGrid w:val="0"/>
        <w:spacing w:line="281" w:lineRule="auto"/>
        <w:rPr>
          <w:rFonts w:hint="eastAsia"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highlight w:val="none"/>
        </w:rPr>
      </w:pPr>
      <w:r>
        <w:rPr>
          <w:rFonts w:hint="eastAsia"/>
          <w:b/>
          <w:sz w:val="18"/>
          <w:szCs w:val="18"/>
          <w:highlight w:val="none"/>
        </w:rPr>
        <w:t>风险提示</w:t>
      </w:r>
    </w:p>
    <w:p>
      <w:pPr>
        <w:adjustRightInd w:val="0"/>
        <w:snapToGrid w:val="0"/>
        <w:spacing w:line="286" w:lineRule="auto"/>
        <w:rPr>
          <w:sz w:val="18"/>
          <w:szCs w:val="18"/>
          <w:highlight w:val="none"/>
        </w:rPr>
      </w:pPr>
      <w:r>
        <w:rPr>
          <w:rFonts w:hint="eastAsia"/>
          <w:b/>
          <w:sz w:val="18"/>
          <w:szCs w:val="18"/>
          <w:highlight w:val="none"/>
        </w:rPr>
        <w:t>本理财计划是非保本型投资产品，您的本金可能会因市场变动而蒙受重大损失，您应充分认识以下投资风险，谨慎投资：</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实际收益率可能低于业绩比较基准，收益可能为</w:t>
      </w:r>
      <w:r>
        <w:rPr>
          <w:sz w:val="18"/>
          <w:szCs w:val="18"/>
          <w:highlight w:val="none"/>
        </w:rPr>
        <w:t>0</w:t>
      </w:r>
      <w:r>
        <w:rPr>
          <w:rFonts w:hint="eastAsia"/>
          <w:sz w:val="18"/>
          <w:szCs w:val="18"/>
          <w:highlight w:val="none"/>
        </w:rPr>
        <w:t>，甚至发生本金损失。则由此产生的理财本金及收益损失的风险由投资者自行承担。</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、管理风险：</w:t>
      </w:r>
      <w:r>
        <w:rPr>
          <w:sz w:val="18"/>
          <w:szCs w:val="18"/>
          <w:highlight w:val="none"/>
        </w:rPr>
        <w:t>在管理运作过程中，可能因</w:t>
      </w:r>
      <w:r>
        <w:rPr>
          <w:rFonts w:hint="eastAsia"/>
          <w:sz w:val="18"/>
          <w:szCs w:val="18"/>
          <w:highlight w:val="none"/>
        </w:rPr>
        <w:t>管理人（包括本理财产品的投资管理人、所投资的资产的管理人、相关投资顾问等）</w:t>
      </w:r>
      <w:r>
        <w:rPr>
          <w:sz w:val="18"/>
          <w:szCs w:val="18"/>
          <w:highlight w:val="none"/>
        </w:rPr>
        <w:t>对经济形势和证券市场等判断有误、获取的信息不全等影响</w:t>
      </w:r>
      <w:r>
        <w:rPr>
          <w:rFonts w:hint="eastAsia"/>
          <w:sz w:val="18"/>
          <w:szCs w:val="18"/>
          <w:highlight w:val="none"/>
        </w:rPr>
        <w:t>理财</w:t>
      </w:r>
      <w:r>
        <w:rPr>
          <w:sz w:val="18"/>
          <w:szCs w:val="18"/>
          <w:highlight w:val="none"/>
        </w:rPr>
        <w:t>的收益水平。</w:t>
      </w:r>
      <w:r>
        <w:rPr>
          <w:rFonts w:hint="eastAsia"/>
          <w:sz w:val="18"/>
          <w:szCs w:val="18"/>
          <w:highlight w:val="none"/>
        </w:rPr>
        <w:t>投资管理人的</w:t>
      </w:r>
      <w:r>
        <w:rPr>
          <w:sz w:val="18"/>
          <w:szCs w:val="18"/>
          <w:highlight w:val="none"/>
        </w:rPr>
        <w:t>管理水平、管理手段和管理技术等对</w:t>
      </w:r>
      <w:r>
        <w:rPr>
          <w:rFonts w:hint="eastAsia"/>
          <w:sz w:val="18"/>
          <w:szCs w:val="18"/>
          <w:highlight w:val="none"/>
        </w:rPr>
        <w:t>理财计划的</w:t>
      </w:r>
      <w:r>
        <w:rPr>
          <w:sz w:val="18"/>
          <w:szCs w:val="18"/>
          <w:highlight w:val="none"/>
        </w:rPr>
        <w:t>收益水平存在影响。</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rFonts w:hint="eastAsia"/>
          <w:sz w:val="18"/>
          <w:szCs w:val="18"/>
          <w:highlight w:val="none"/>
        </w:rPr>
      </w:pPr>
      <w:r>
        <w:rPr>
          <w:sz w:val="18"/>
          <w:szCs w:val="18"/>
          <w:highlight w:val="none"/>
        </w:rPr>
        <w:t>4</w:t>
      </w:r>
      <w:r>
        <w:rPr>
          <w:rFonts w:hint="eastAsia"/>
          <w:sz w:val="18"/>
          <w:szCs w:val="18"/>
          <w:highlight w:val="none"/>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highlight w:val="none"/>
          <w:u w:val="single"/>
        </w:rPr>
        <w:t>非开放期不得提前赎回</w:t>
      </w:r>
      <w:r>
        <w:rPr>
          <w:rFonts w:hint="eastAsia"/>
          <w:sz w:val="18"/>
          <w:szCs w:val="18"/>
          <w:highlight w:val="none"/>
        </w:rPr>
        <w:t>。在理财计划存续期内的每个赎回日，若该赎回日内净赎回份额合计超过理财产品总份额的</w:t>
      </w:r>
      <w:r>
        <w:rPr>
          <w:rFonts w:hint="eastAsia"/>
          <w:sz w:val="18"/>
          <w:szCs w:val="18"/>
          <w:highlight w:val="none"/>
          <w:lang w:val="en-US" w:eastAsia="zh-CN"/>
        </w:rPr>
        <w:t>1</w:t>
      </w:r>
      <w:r>
        <w:rPr>
          <w:rFonts w:hint="eastAsia"/>
          <w:sz w:val="18"/>
          <w:szCs w:val="18"/>
          <w:highlight w:val="none"/>
        </w:rPr>
        <w:t>0%，则发生巨额赎回事件，温州银行有权拒绝接受超过</w:t>
      </w:r>
      <w:r>
        <w:rPr>
          <w:rFonts w:hint="eastAsia"/>
          <w:sz w:val="18"/>
          <w:szCs w:val="18"/>
          <w:highlight w:val="none"/>
          <w:lang w:val="en-US" w:eastAsia="zh-CN"/>
        </w:rPr>
        <w:t>1</w:t>
      </w:r>
      <w:r>
        <w:rPr>
          <w:rFonts w:hint="eastAsia"/>
          <w:sz w:val="18"/>
          <w:szCs w:val="18"/>
          <w:highlight w:val="none"/>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sz w:val="18"/>
          <w:szCs w:val="18"/>
          <w:highlight w:val="none"/>
        </w:rPr>
      </w:pPr>
      <w:r>
        <w:rPr>
          <w:sz w:val="18"/>
          <w:szCs w:val="18"/>
          <w:highlight w:val="none"/>
        </w:rPr>
        <w:t>5</w:t>
      </w:r>
      <w:r>
        <w:rPr>
          <w:rFonts w:hint="eastAsia"/>
          <w:sz w:val="18"/>
          <w:szCs w:val="18"/>
          <w:highlight w:val="none"/>
        </w:rPr>
        <w:t>、市场风险：</w:t>
      </w:r>
      <w:r>
        <w:rPr>
          <w:rFonts w:ascii="宋体" w:hAnsi="宋体"/>
          <w:sz w:val="18"/>
          <w:szCs w:val="18"/>
          <w:highlight w:val="none"/>
        </w:rPr>
        <w:t>指由于债券市场</w:t>
      </w:r>
      <w:r>
        <w:rPr>
          <w:rFonts w:hint="eastAsia" w:ascii="宋体" w:hAnsi="宋体"/>
          <w:sz w:val="18"/>
          <w:szCs w:val="18"/>
          <w:highlight w:val="none"/>
          <w:lang w:val="en-US" w:eastAsia="zh-CN"/>
        </w:rPr>
        <w:t>或资本市场</w:t>
      </w:r>
      <w:r>
        <w:rPr>
          <w:rFonts w:ascii="宋体" w:hAnsi="宋体"/>
          <w:sz w:val="18"/>
          <w:szCs w:val="18"/>
          <w:highlight w:val="none"/>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highlight w:val="none"/>
          <w:lang w:val="en-US" w:eastAsia="zh-CN"/>
        </w:rPr>
        <w:t>证券</w:t>
      </w:r>
      <w:r>
        <w:rPr>
          <w:rFonts w:ascii="宋体" w:hAnsi="宋体"/>
          <w:sz w:val="18"/>
          <w:szCs w:val="18"/>
          <w:highlight w:val="none"/>
        </w:rPr>
        <w:t>市场造成不同程度的影响，从而产生市场风险。</w:t>
      </w:r>
      <w:r>
        <w:rPr>
          <w:rFonts w:hint="eastAsia" w:ascii="宋体" w:hAnsi="宋体"/>
          <w:sz w:val="18"/>
          <w:szCs w:val="18"/>
          <w:highlight w:val="none"/>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highlight w:val="none"/>
        </w:rPr>
      </w:pPr>
      <w:r>
        <w:rPr>
          <w:sz w:val="18"/>
          <w:szCs w:val="18"/>
          <w:highlight w:val="none"/>
        </w:rPr>
        <w:t>6</w:t>
      </w:r>
      <w:r>
        <w:rPr>
          <w:rFonts w:hint="eastAsia"/>
          <w:sz w:val="18"/>
          <w:szCs w:val="18"/>
          <w:highlight w:val="none"/>
        </w:rPr>
        <w:t>、早偿风险：如温州银行在特定情况下终止理财，则投资者可能将无法实现期初预期的全部收益。</w:t>
      </w:r>
    </w:p>
    <w:p>
      <w:pPr>
        <w:adjustRightInd w:val="0"/>
        <w:snapToGrid w:val="0"/>
        <w:spacing w:line="286" w:lineRule="auto"/>
        <w:rPr>
          <w:sz w:val="18"/>
          <w:szCs w:val="18"/>
          <w:highlight w:val="none"/>
        </w:rPr>
      </w:pPr>
      <w:r>
        <w:rPr>
          <w:rFonts w:hint="eastAsia" w:ascii="宋体" w:hAnsi="宋体"/>
          <w:sz w:val="18"/>
          <w:szCs w:val="18"/>
          <w:highlight w:val="none"/>
        </w:rPr>
        <w:t>7、</w:t>
      </w:r>
      <w:r>
        <w:rPr>
          <w:rFonts w:ascii="宋体" w:hAnsi="宋体"/>
          <w:sz w:val="18"/>
          <w:szCs w:val="18"/>
          <w:highlight w:val="none"/>
        </w:rPr>
        <w:t>信用风险</w:t>
      </w:r>
      <w:r>
        <w:rPr>
          <w:rFonts w:hint="eastAsia" w:ascii="宋体" w:hAnsi="宋体"/>
          <w:sz w:val="18"/>
          <w:szCs w:val="18"/>
          <w:highlight w:val="none"/>
        </w:rPr>
        <w:t>：</w:t>
      </w:r>
      <w:r>
        <w:rPr>
          <w:rFonts w:hint="eastAsia"/>
          <w:sz w:val="18"/>
          <w:szCs w:val="18"/>
          <w:highlight w:val="none"/>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highlight w:val="none"/>
        </w:rPr>
      </w:pPr>
      <w:r>
        <w:rPr>
          <w:rFonts w:hint="eastAsia"/>
          <w:sz w:val="18"/>
          <w:szCs w:val="18"/>
          <w:highlight w:val="none"/>
        </w:rPr>
        <w:t>8、</w:t>
      </w:r>
      <w:r>
        <w:rPr>
          <w:rFonts w:hint="eastAsia" w:ascii="Times New Roman" w:hAnsi="Times New Roman" w:cs="Times New Roman"/>
          <w:kern w:val="2"/>
          <w:sz w:val="18"/>
          <w:szCs w:val="18"/>
          <w:highlight w:val="none"/>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highlight w:val="none"/>
        </w:rPr>
      </w:pPr>
      <w:r>
        <w:rPr>
          <w:rFonts w:hint="eastAsia" w:ascii="宋体" w:hAnsi="宋体"/>
          <w:sz w:val="18"/>
          <w:szCs w:val="18"/>
          <w:highlight w:val="none"/>
        </w:rPr>
        <w:t>9、</w:t>
      </w:r>
      <w:r>
        <w:rPr>
          <w:rFonts w:hint="eastAsia"/>
          <w:sz w:val="18"/>
          <w:szCs w:val="18"/>
          <w:highlight w:val="none"/>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highlight w:val="none"/>
        </w:rPr>
      </w:pPr>
      <w:r>
        <w:rPr>
          <w:rFonts w:hint="eastAsia"/>
          <w:sz w:val="18"/>
          <w:szCs w:val="18"/>
          <w:highlight w:val="none"/>
        </w:rPr>
        <w:t>10、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1</w:t>
      </w:r>
      <w:r>
        <w:rPr>
          <w:rFonts w:hint="eastAsia"/>
          <w:sz w:val="18"/>
          <w:szCs w:val="18"/>
          <w:highlight w:val="none"/>
          <w:lang w:val="en-US" w:eastAsia="zh-CN"/>
        </w:rPr>
        <w:t>1</w:t>
      </w:r>
      <w:r>
        <w:rPr>
          <w:rFonts w:hint="eastAsia"/>
          <w:sz w:val="18"/>
          <w:szCs w:val="18"/>
          <w:highlight w:val="none"/>
        </w:rPr>
        <w:t>、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highlight w:val="none"/>
        </w:rPr>
      </w:pPr>
      <w:r>
        <w:rPr>
          <w:rFonts w:hint="eastAsia" w:ascii="宋体" w:hAnsi="宋体"/>
          <w:b/>
          <w:sz w:val="18"/>
          <w:szCs w:val="18"/>
          <w:highlight w:val="none"/>
        </w:rPr>
        <w:t>风险监测和控制措施：</w:t>
      </w:r>
    </w:p>
    <w:p>
      <w:pPr>
        <w:adjustRightInd w:val="0"/>
        <w:snapToGrid w:val="0"/>
        <w:spacing w:line="286" w:lineRule="auto"/>
        <w:rPr>
          <w:rFonts w:ascii="宋体" w:hAnsi="宋体"/>
          <w:sz w:val="18"/>
          <w:szCs w:val="18"/>
          <w:highlight w:val="none"/>
        </w:rPr>
      </w:pPr>
      <w:r>
        <w:rPr>
          <w:rFonts w:ascii="宋体" w:hAnsi="宋体"/>
          <w:sz w:val="18"/>
          <w:szCs w:val="18"/>
          <w:highlight w:val="none"/>
        </w:rPr>
        <w:t>针对</w:t>
      </w:r>
      <w:r>
        <w:rPr>
          <w:rFonts w:hint="eastAsia" w:ascii="宋体" w:hAnsi="宋体"/>
          <w:sz w:val="18"/>
          <w:szCs w:val="18"/>
          <w:highlight w:val="none"/>
        </w:rPr>
        <w:t>上述</w:t>
      </w:r>
      <w:r>
        <w:rPr>
          <w:rFonts w:ascii="宋体" w:hAnsi="宋体"/>
          <w:sz w:val="18"/>
          <w:szCs w:val="18"/>
          <w:highlight w:val="none"/>
        </w:rPr>
        <w:t>提及的风险，</w:t>
      </w:r>
      <w:r>
        <w:rPr>
          <w:rFonts w:hint="eastAsia" w:ascii="宋体" w:hAnsi="宋体"/>
          <w:sz w:val="18"/>
          <w:szCs w:val="18"/>
          <w:highlight w:val="none"/>
        </w:rPr>
        <w:t>温州银行</w:t>
      </w:r>
      <w:r>
        <w:rPr>
          <w:rFonts w:ascii="宋体" w:hAnsi="宋体"/>
          <w:sz w:val="18"/>
          <w:szCs w:val="18"/>
          <w:highlight w:val="none"/>
        </w:rPr>
        <w:t>将采取以下措施防范和控制风险，但并不保证以下措施可以覆盖和排除在管理本</w:t>
      </w:r>
      <w:r>
        <w:rPr>
          <w:rFonts w:hint="eastAsia" w:ascii="宋体" w:hAnsi="宋体"/>
          <w:sz w:val="18"/>
          <w:szCs w:val="18"/>
          <w:highlight w:val="none"/>
        </w:rPr>
        <w:t>产品</w:t>
      </w:r>
      <w:r>
        <w:rPr>
          <w:rFonts w:ascii="宋体" w:hAnsi="宋体"/>
          <w:sz w:val="18"/>
          <w:szCs w:val="18"/>
          <w:highlight w:val="none"/>
        </w:rPr>
        <w:t>过程中所可能涉及的全部风险</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2、管理风险的管控措施：温州银行</w:t>
      </w:r>
      <w:r>
        <w:rPr>
          <w:rFonts w:ascii="宋体" w:hAnsi="宋体"/>
          <w:sz w:val="18"/>
          <w:szCs w:val="18"/>
          <w:highlight w:val="none"/>
        </w:rPr>
        <w:t>将加强内部管理，恪尽职守，</w:t>
      </w:r>
      <w:r>
        <w:rPr>
          <w:rFonts w:hint="eastAsia" w:ascii="宋体" w:hAnsi="宋体"/>
          <w:sz w:val="18"/>
          <w:szCs w:val="18"/>
          <w:highlight w:val="none"/>
        </w:rPr>
        <w:t>督促合作机构</w:t>
      </w:r>
      <w:r>
        <w:rPr>
          <w:rFonts w:ascii="宋体" w:hAnsi="宋体"/>
          <w:sz w:val="18"/>
          <w:szCs w:val="18"/>
          <w:highlight w:val="none"/>
        </w:rPr>
        <w:t>加强对信息的采集和科学的分析，力争降低因</w:t>
      </w:r>
      <w:r>
        <w:rPr>
          <w:rFonts w:hint="eastAsia" w:ascii="宋体" w:hAnsi="宋体"/>
          <w:sz w:val="18"/>
          <w:szCs w:val="18"/>
          <w:highlight w:val="none"/>
        </w:rPr>
        <w:t>其</w:t>
      </w:r>
      <w:r>
        <w:rPr>
          <w:rFonts w:ascii="宋体" w:hAnsi="宋体"/>
          <w:sz w:val="18"/>
          <w:szCs w:val="18"/>
          <w:highlight w:val="none"/>
        </w:rPr>
        <w:t>管理不当而对</w:t>
      </w:r>
      <w:r>
        <w:rPr>
          <w:rFonts w:hint="eastAsia" w:ascii="宋体" w:hAnsi="宋体"/>
          <w:sz w:val="18"/>
          <w:szCs w:val="18"/>
          <w:highlight w:val="none"/>
        </w:rPr>
        <w:t>理财</w:t>
      </w:r>
      <w:r>
        <w:rPr>
          <w:rFonts w:ascii="宋体" w:hAnsi="宋体"/>
          <w:sz w:val="18"/>
          <w:szCs w:val="18"/>
          <w:highlight w:val="none"/>
        </w:rPr>
        <w:t>财产</w:t>
      </w:r>
      <w:r>
        <w:rPr>
          <w:rFonts w:hint="eastAsia" w:ascii="宋体" w:hAnsi="宋体"/>
          <w:sz w:val="18"/>
          <w:szCs w:val="18"/>
          <w:highlight w:val="none"/>
        </w:rPr>
        <w:t>造成的</w:t>
      </w:r>
      <w:r>
        <w:rPr>
          <w:rFonts w:ascii="宋体" w:hAnsi="宋体"/>
          <w:sz w:val="18"/>
          <w:szCs w:val="18"/>
          <w:highlight w:val="none"/>
        </w:rPr>
        <w:t>损失</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3、法律风险的管控措施：温州银行将严格按照法律法规的要求履行自己的责任和义务。</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4、政策风险、</w:t>
      </w:r>
      <w:r>
        <w:rPr>
          <w:rFonts w:hint="eastAsia"/>
          <w:sz w:val="18"/>
          <w:szCs w:val="18"/>
          <w:highlight w:val="none"/>
        </w:rPr>
        <w:t>早偿风险、理财产品不成立风险和</w:t>
      </w:r>
      <w:r>
        <w:rPr>
          <w:rFonts w:ascii="宋体" w:hAnsi="宋体"/>
          <w:sz w:val="18"/>
          <w:szCs w:val="18"/>
          <w:highlight w:val="none"/>
        </w:rPr>
        <w:t>其他风险</w:t>
      </w:r>
      <w:r>
        <w:rPr>
          <w:rFonts w:hint="eastAsia" w:ascii="宋体" w:hAnsi="宋体"/>
          <w:sz w:val="18"/>
          <w:szCs w:val="18"/>
          <w:highlight w:val="none"/>
        </w:rPr>
        <w:t>的管控措施：温州银行</w:t>
      </w:r>
      <w:r>
        <w:rPr>
          <w:rFonts w:ascii="宋体" w:hAnsi="宋体"/>
          <w:sz w:val="18"/>
          <w:szCs w:val="18"/>
          <w:highlight w:val="none"/>
        </w:rPr>
        <w:t>将坚持</w:t>
      </w:r>
      <w:r>
        <w:rPr>
          <w:rFonts w:hint="eastAsia" w:ascii="宋体" w:hAnsi="宋体"/>
          <w:sz w:val="18"/>
          <w:szCs w:val="18"/>
          <w:highlight w:val="none"/>
        </w:rPr>
        <w:t>理财财产利益</w:t>
      </w:r>
      <w:r>
        <w:rPr>
          <w:rFonts w:ascii="宋体" w:hAnsi="宋体"/>
          <w:sz w:val="18"/>
          <w:szCs w:val="18"/>
          <w:highlight w:val="none"/>
        </w:rPr>
        <w:t>最大化的原则，严格履行自己应尽的义务，不断分析潜在的风险，努力防范和化解可能出现的风险，维护</w:t>
      </w:r>
      <w:r>
        <w:rPr>
          <w:rFonts w:hint="eastAsia" w:ascii="宋体" w:hAnsi="宋体"/>
          <w:sz w:val="18"/>
          <w:szCs w:val="18"/>
          <w:highlight w:val="none"/>
        </w:rPr>
        <w:t>理财财产的</w:t>
      </w:r>
      <w:r>
        <w:rPr>
          <w:rFonts w:ascii="宋体" w:hAnsi="宋体"/>
          <w:sz w:val="18"/>
          <w:szCs w:val="18"/>
          <w:highlight w:val="none"/>
        </w:rPr>
        <w:t>利益。</w:t>
      </w:r>
    </w:p>
    <w:p>
      <w:pPr>
        <w:adjustRightInd w:val="0"/>
        <w:snapToGrid w:val="0"/>
        <w:spacing w:line="286" w:lineRule="auto"/>
        <w:rPr>
          <w:rFonts w:hint="eastAsia"/>
          <w:b/>
          <w:sz w:val="18"/>
          <w:szCs w:val="18"/>
          <w:highlight w:val="none"/>
        </w:rPr>
      </w:pPr>
      <w:r>
        <w:rPr>
          <w:rFonts w:hint="eastAsia"/>
          <w:b/>
          <w:sz w:val="18"/>
          <w:szCs w:val="18"/>
          <w:highlight w:val="none"/>
        </w:rPr>
        <w:t>信息公告</w:t>
      </w:r>
    </w:p>
    <w:p>
      <w:pPr>
        <w:adjustRightInd w:val="0"/>
        <w:snapToGrid w:val="0"/>
        <w:spacing w:line="286" w:lineRule="auto"/>
        <w:rPr>
          <w:rFonts w:hint="eastAsia"/>
          <w:sz w:val="18"/>
          <w:szCs w:val="18"/>
          <w:highlight w:val="none"/>
        </w:rPr>
      </w:pPr>
      <w:r>
        <w:rPr>
          <w:rFonts w:hint="eastAsia"/>
          <w:sz w:val="18"/>
          <w:szCs w:val="18"/>
          <w:highlight w:val="none"/>
        </w:rPr>
        <w:t>1、发行公告：温州银行将在本产品成立之日后5个工作日内披露发行公告，包括理财产品成立日期和募集规模等信息。</w:t>
      </w:r>
    </w:p>
    <w:p>
      <w:pPr>
        <w:adjustRightInd w:val="0"/>
        <w:snapToGrid w:val="0"/>
        <w:spacing w:line="286" w:lineRule="auto"/>
        <w:rPr>
          <w:rFonts w:hint="eastAsia"/>
          <w:sz w:val="18"/>
          <w:szCs w:val="18"/>
          <w:highlight w:val="none"/>
        </w:rPr>
      </w:pPr>
      <w:r>
        <w:rPr>
          <w:rFonts w:hint="eastAsia"/>
          <w:sz w:val="18"/>
          <w:szCs w:val="18"/>
          <w:highlight w:val="none"/>
        </w:rPr>
        <w:t>2、定期公告：</w:t>
      </w:r>
    </w:p>
    <w:p>
      <w:pPr>
        <w:adjustRightInd w:val="0"/>
        <w:snapToGrid w:val="0"/>
        <w:spacing w:line="286" w:lineRule="auto"/>
        <w:rPr>
          <w:rFonts w:hint="eastAsia"/>
          <w:sz w:val="18"/>
          <w:szCs w:val="18"/>
          <w:highlight w:val="none"/>
        </w:rPr>
      </w:pPr>
      <w:r>
        <w:rPr>
          <w:rFonts w:hint="eastAsia"/>
          <w:sz w:val="18"/>
          <w:szCs w:val="18"/>
          <w:highlight w:val="none"/>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每个产品工作日及非理财产品工作日期间的每一自然日的产品份额净值、份额累计净值、认购（申购）价格和赎回价格，均在下一产品工作日披露。</w:t>
      </w:r>
    </w:p>
    <w:p>
      <w:pPr>
        <w:adjustRightInd w:val="0"/>
        <w:snapToGrid w:val="0"/>
        <w:spacing w:line="286" w:lineRule="auto"/>
        <w:rPr>
          <w:rFonts w:hint="eastAsia"/>
          <w:sz w:val="18"/>
          <w:szCs w:val="18"/>
          <w:highlight w:val="none"/>
        </w:rPr>
      </w:pPr>
      <w:r>
        <w:rPr>
          <w:rFonts w:hint="eastAsia"/>
          <w:sz w:val="18"/>
          <w:szCs w:val="18"/>
          <w:highlight w:val="none"/>
        </w:rPr>
        <w:t>3、临时性公告</w:t>
      </w:r>
    </w:p>
    <w:p>
      <w:pPr>
        <w:adjustRightInd w:val="0"/>
        <w:snapToGrid w:val="0"/>
        <w:spacing w:line="286" w:lineRule="auto"/>
        <w:rPr>
          <w:rFonts w:hint="eastAsia"/>
          <w:sz w:val="18"/>
          <w:szCs w:val="18"/>
          <w:highlight w:val="none"/>
        </w:rPr>
      </w:pPr>
      <w:r>
        <w:rPr>
          <w:rFonts w:hint="eastAsia"/>
          <w:sz w:val="18"/>
          <w:szCs w:val="18"/>
          <w:highlight w:val="none"/>
        </w:rPr>
        <w:t>（1）在本理财产品存续期间，温州银行可以提前1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rFonts w:hint="eastAsia"/>
          <w:b/>
          <w:sz w:val="18"/>
          <w:szCs w:val="18"/>
          <w:highlight w:val="none"/>
        </w:rPr>
      </w:pPr>
      <w:r>
        <w:rPr>
          <w:rFonts w:hint="eastAsia"/>
          <w:b/>
          <w:sz w:val="18"/>
          <w:szCs w:val="18"/>
          <w:highlight w:val="none"/>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1个工作日发布相关信息公告通知投资者。修订后的产品说明书对投资者具有法律约束力。</w:t>
      </w:r>
    </w:p>
    <w:p>
      <w:pPr>
        <w:adjustRightInd w:val="0"/>
        <w:snapToGrid w:val="0"/>
        <w:spacing w:line="286" w:lineRule="auto"/>
        <w:rPr>
          <w:rFonts w:hint="eastAsia"/>
          <w:b/>
          <w:sz w:val="18"/>
          <w:szCs w:val="18"/>
          <w:highlight w:val="none"/>
        </w:rPr>
      </w:pPr>
      <w:r>
        <w:rPr>
          <w:rFonts w:hint="eastAsia"/>
          <w:b/>
          <w:sz w:val="18"/>
          <w:szCs w:val="18"/>
          <w:highlight w:val="none"/>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highlight w:val="none"/>
        </w:rPr>
      </w:pPr>
      <w:r>
        <w:rPr>
          <w:rFonts w:hint="eastAsia"/>
          <w:sz w:val="18"/>
          <w:szCs w:val="18"/>
          <w:highlight w:val="none"/>
        </w:rPr>
        <w:t>5、到期公告：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）温州银行将在本产品到期日后5个工作日内，在温州银行网站发布到期公告。</w:t>
      </w:r>
    </w:p>
    <w:p>
      <w:pPr>
        <w:adjustRightInd w:val="0"/>
        <w:snapToGrid w:val="0"/>
        <w:spacing w:line="286" w:lineRule="auto"/>
        <w:rPr>
          <w:rFonts w:hint="eastAsia"/>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）温州银行如在特定情况下提前终止本产品，将于实际终止日提前至少</w:t>
      </w:r>
      <w:r>
        <w:rPr>
          <w:b/>
          <w:sz w:val="18"/>
          <w:szCs w:val="18"/>
          <w:highlight w:val="none"/>
        </w:rPr>
        <w:t>1</w:t>
      </w:r>
      <w:r>
        <w:rPr>
          <w:rFonts w:hint="eastAsia"/>
          <w:b/>
          <w:sz w:val="18"/>
          <w:szCs w:val="18"/>
          <w:highlight w:val="none"/>
        </w:rPr>
        <w:t>个工作日，在温州银行网站和相关网点发布相关信息公告。</w:t>
      </w:r>
    </w:p>
    <w:p>
      <w:pPr>
        <w:adjustRightInd w:val="0"/>
        <w:snapToGrid w:val="0"/>
        <w:spacing w:line="286" w:lineRule="auto"/>
        <w:rPr>
          <w:sz w:val="18"/>
          <w:szCs w:val="18"/>
          <w:highlight w:val="none"/>
        </w:rPr>
      </w:pPr>
      <w:r>
        <w:rPr>
          <w:rFonts w:hint="eastAsia"/>
          <w:sz w:val="18"/>
          <w:szCs w:val="18"/>
          <w:highlight w:val="none"/>
        </w:rPr>
        <w:t>6、温州银行将在理财期内在温州银行网站（www.wzbank.cn）</w:t>
      </w:r>
      <w:r>
        <w:rPr>
          <w:rFonts w:hint="eastAsia"/>
          <w:sz w:val="18"/>
          <w:szCs w:val="18"/>
          <w:highlight w:val="none"/>
          <w:lang w:val="en-US" w:eastAsia="zh-CN"/>
        </w:rPr>
        <w:t>或电子银行等信息平台</w:t>
      </w:r>
      <w:r>
        <w:rPr>
          <w:rFonts w:hint="eastAsia"/>
          <w:sz w:val="18"/>
          <w:szCs w:val="18"/>
          <w:highlight w:val="none"/>
        </w:rPr>
        <w:t>对本产品说明书予以公示。产品存续期间，投资者应当登录温州银行网站（www.wzbank.cn）</w:t>
      </w:r>
      <w:r>
        <w:rPr>
          <w:rFonts w:hint="eastAsia"/>
          <w:sz w:val="18"/>
          <w:szCs w:val="18"/>
          <w:highlight w:val="none"/>
          <w:lang w:val="en-US" w:eastAsia="zh-CN"/>
        </w:rPr>
        <w:t>或电子银行等信息平台</w:t>
      </w:r>
      <w:r>
        <w:rPr>
          <w:rFonts w:hint="eastAsia"/>
          <w:sz w:val="18"/>
          <w:szCs w:val="18"/>
          <w:highlight w:val="none"/>
        </w:rPr>
        <w:t>获取与本理财产品相关的信息。</w:t>
      </w:r>
    </w:p>
    <w:p>
      <w:pPr>
        <w:adjustRightInd w:val="0"/>
        <w:snapToGrid w:val="0"/>
        <w:spacing w:line="286" w:lineRule="auto"/>
        <w:rPr>
          <w:rFonts w:hint="eastAsia"/>
          <w:sz w:val="18"/>
          <w:szCs w:val="18"/>
          <w:highlight w:val="none"/>
        </w:rPr>
      </w:pPr>
      <w:r>
        <w:rPr>
          <w:rFonts w:hint="eastAsia"/>
          <w:sz w:val="18"/>
          <w:szCs w:val="18"/>
          <w:highlight w:val="none"/>
        </w:rPr>
        <w:t>7、理财产品账单：温州银行将在理财期内在温州银行网站（www.wzbank.cn）或</w:t>
      </w:r>
      <w:r>
        <w:rPr>
          <w:rFonts w:hint="eastAsia"/>
          <w:sz w:val="18"/>
          <w:szCs w:val="18"/>
          <w:highlight w:val="none"/>
          <w:lang w:val="en-US" w:eastAsia="zh-CN"/>
        </w:rPr>
        <w:t>电子银行等信息平台</w:t>
      </w:r>
      <w:r>
        <w:rPr>
          <w:rFonts w:hint="eastAsia"/>
          <w:sz w:val="18"/>
          <w:szCs w:val="18"/>
          <w:highlight w:val="none"/>
        </w:rPr>
        <w:t>，至少按月为投资者提供理财产品账单信息。</w:t>
      </w:r>
    </w:p>
    <w:p>
      <w:pPr>
        <w:adjustRightInd w:val="0"/>
        <w:snapToGrid w:val="0"/>
        <w:spacing w:line="276" w:lineRule="auto"/>
        <w:rPr>
          <w:b/>
          <w:sz w:val="18"/>
          <w:szCs w:val="18"/>
          <w:highlight w:val="none"/>
        </w:rPr>
      </w:pPr>
      <w:r>
        <w:rPr>
          <w:rFonts w:hint="eastAsia"/>
          <w:b/>
          <w:sz w:val="18"/>
          <w:szCs w:val="18"/>
          <w:highlight w:val="none"/>
        </w:rPr>
        <w:t>投资者信息管理</w:t>
      </w:r>
    </w:p>
    <w:p>
      <w:pPr>
        <w:adjustRightInd w:val="0"/>
        <w:snapToGrid w:val="0"/>
        <w:spacing w:line="276" w:lineRule="auto"/>
        <w:rPr>
          <w:rFonts w:hint="eastAsia"/>
          <w:b/>
          <w:sz w:val="18"/>
          <w:szCs w:val="18"/>
          <w:highlight w:val="none"/>
        </w:rPr>
      </w:pPr>
      <w:r>
        <w:rPr>
          <w:rFonts w:hint="eastAsia"/>
          <w:sz w:val="18"/>
          <w:szCs w:val="18"/>
          <w:highlight w:val="none"/>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76" w:lineRule="auto"/>
        <w:rPr>
          <w:b/>
          <w:sz w:val="18"/>
          <w:szCs w:val="18"/>
          <w:highlight w:val="none"/>
        </w:rPr>
      </w:pPr>
      <w:r>
        <w:rPr>
          <w:rFonts w:hint="eastAsia"/>
          <w:b/>
          <w:sz w:val="18"/>
          <w:szCs w:val="18"/>
          <w:highlight w:val="none"/>
        </w:rPr>
        <w:t>产品认购（申购）</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w:t>
      </w:r>
      <w:r>
        <w:rPr>
          <w:rFonts w:hint="eastAsia"/>
          <w:sz w:val="18"/>
          <w:szCs w:val="18"/>
          <w:highlight w:val="none"/>
          <w:lang w:val="en-US" w:eastAsia="zh-CN"/>
        </w:rPr>
        <w:t>计划成立日/投资周期起始</w:t>
      </w:r>
      <w:r>
        <w:rPr>
          <w:rFonts w:hint="eastAsia"/>
          <w:sz w:val="18"/>
          <w:szCs w:val="18"/>
          <w:highlight w:val="none"/>
        </w:rPr>
        <w:t>实现资金扣划，相应认购（申购）将做失败处理。</w:t>
      </w:r>
    </w:p>
    <w:p>
      <w:pPr>
        <w:adjustRightInd w:val="0"/>
        <w:snapToGrid w:val="0"/>
        <w:spacing w:line="286" w:lineRule="auto"/>
        <w:rPr>
          <w:rFonts w:hint="eastAsia"/>
          <w:sz w:val="18"/>
          <w:szCs w:val="18"/>
          <w:highlight w:val="none"/>
        </w:rPr>
      </w:pPr>
      <w:r>
        <w:rPr>
          <w:sz w:val="18"/>
          <w:szCs w:val="18"/>
          <w:highlight w:val="none"/>
        </w:rPr>
        <w:t>3</w:t>
      </w:r>
      <w:r>
        <w:rPr>
          <w:rFonts w:hint="eastAsia"/>
          <w:sz w:val="18"/>
          <w:szCs w:val="18"/>
          <w:highlight w:val="none"/>
        </w:rPr>
        <w:t>、产品发行规模有限，售完即止。</w:t>
      </w:r>
    </w:p>
    <w:p>
      <w:pPr>
        <w:adjustRightInd w:val="0"/>
        <w:snapToGrid w:val="0"/>
        <w:spacing w:line="286" w:lineRule="auto"/>
        <w:rPr>
          <w:rFonts w:hint="eastAsia"/>
          <w:b/>
          <w:sz w:val="18"/>
          <w:szCs w:val="18"/>
          <w:highlight w:val="none"/>
        </w:rPr>
      </w:pPr>
      <w:r>
        <w:rPr>
          <w:rFonts w:hint="eastAsia"/>
          <w:b/>
          <w:sz w:val="18"/>
          <w:szCs w:val="18"/>
          <w:highlight w:val="none"/>
        </w:rPr>
        <w:t>法律适用与争议解决</w:t>
      </w:r>
    </w:p>
    <w:p>
      <w:pPr>
        <w:adjustRightInd w:val="0"/>
        <w:snapToGrid w:val="0"/>
        <w:spacing w:line="286" w:lineRule="auto"/>
        <w:rPr>
          <w:rFonts w:hint="eastAsia"/>
          <w:sz w:val="18"/>
          <w:szCs w:val="18"/>
          <w:highlight w:val="none"/>
        </w:rPr>
      </w:pPr>
      <w:r>
        <w:rPr>
          <w:rFonts w:hint="eastAsia"/>
          <w:sz w:val="18"/>
          <w:szCs w:val="18"/>
          <w:highlight w:val="none"/>
        </w:rPr>
        <w:t>1.法律适用</w:t>
      </w:r>
    </w:p>
    <w:p>
      <w:pPr>
        <w:adjustRightInd w:val="0"/>
        <w:snapToGrid w:val="0"/>
        <w:spacing w:line="286" w:lineRule="auto"/>
        <w:rPr>
          <w:rFonts w:hint="eastAsia"/>
          <w:sz w:val="18"/>
          <w:szCs w:val="18"/>
          <w:highlight w:val="none"/>
        </w:rPr>
      </w:pPr>
      <w:r>
        <w:rPr>
          <w:rFonts w:hint="eastAsia"/>
          <w:sz w:val="18"/>
          <w:szCs w:val="18"/>
          <w:highlight w:val="none"/>
        </w:rPr>
        <w:t>理财计划合同的订立、生效、履行、修改和终止等事项适用中国内地法律。</w:t>
      </w:r>
    </w:p>
    <w:p>
      <w:pPr>
        <w:adjustRightInd w:val="0"/>
        <w:snapToGrid w:val="0"/>
        <w:spacing w:line="286" w:lineRule="auto"/>
        <w:rPr>
          <w:rFonts w:hint="eastAsia"/>
          <w:sz w:val="18"/>
          <w:szCs w:val="18"/>
          <w:highlight w:val="none"/>
        </w:rPr>
      </w:pPr>
      <w:r>
        <w:rPr>
          <w:rFonts w:hint="eastAsia"/>
          <w:sz w:val="18"/>
          <w:szCs w:val="18"/>
          <w:highlight w:val="none"/>
        </w:rPr>
        <w:t>2.争议解决</w:t>
      </w:r>
    </w:p>
    <w:p>
      <w:pPr>
        <w:adjustRightInd w:val="0"/>
        <w:snapToGrid w:val="0"/>
        <w:spacing w:line="286" w:lineRule="auto"/>
        <w:rPr>
          <w:rFonts w:hint="eastAsia"/>
          <w:sz w:val="18"/>
          <w:szCs w:val="18"/>
          <w:highlight w:val="none"/>
        </w:rPr>
      </w:pPr>
      <w:r>
        <w:rPr>
          <w:rFonts w:hint="eastAsia"/>
          <w:sz w:val="18"/>
          <w:szCs w:val="18"/>
          <w:highlight w:val="none"/>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highlight w:val="none"/>
        </w:rPr>
      </w:pPr>
      <w:r>
        <w:rPr>
          <w:rFonts w:hint="eastAsia"/>
          <w:sz w:val="18"/>
          <w:szCs w:val="18"/>
          <w:highlight w:val="none"/>
        </w:rPr>
        <w:t>（2）除各方发生争议的事项外，各方仍应当本着善意的原则按照理财计划文件的规定继续履行各自义务。</w:t>
      </w:r>
    </w:p>
    <w:p>
      <w:pPr>
        <w:adjustRightInd w:val="0"/>
        <w:snapToGrid w:val="0"/>
        <w:spacing w:line="286" w:lineRule="auto"/>
        <w:rPr>
          <w:sz w:val="18"/>
          <w:szCs w:val="18"/>
          <w:highlight w:val="none"/>
        </w:rPr>
      </w:pPr>
      <w:r>
        <w:rPr>
          <w:rFonts w:hint="eastAsia"/>
          <w:sz w:val="18"/>
          <w:szCs w:val="18"/>
          <w:highlight w:val="none"/>
        </w:rPr>
        <w:t>（3）《温州银行“金鹿理财-普惠盈周”1号开放式净值型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1" w:lineRule="auto"/>
        <w:rPr>
          <w:rFonts w:hint="eastAsia" w:ascii="宋体" w:hAnsi="宋体"/>
          <w:szCs w:val="21"/>
          <w:highlight w:val="none"/>
        </w:rPr>
      </w:pPr>
      <w:r>
        <w:rPr>
          <w:rFonts w:hint="eastAsia" w:ascii="宋体" w:hAnsi="宋体"/>
          <w:szCs w:val="21"/>
          <w:highlight w:val="none"/>
        </w:rPr>
        <w:t xml:space="preserve">         投资者签章：                                 日期：</w:t>
      </w:r>
    </w:p>
    <w:sectPr>
      <w:footerReference r:id="rId3" w:type="default"/>
      <w:pgSz w:w="11906" w:h="16838"/>
      <w:pgMar w:top="680"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dit="readOnly" w:enforcement="1" w:cryptProviderType="rsaFull" w:cryptAlgorithmClass="hash" w:cryptAlgorithmType="typeAny" w:cryptAlgorithmSid="4" w:cryptSpinCount="0" w:hash="B+OhMpJaepySvt6rfrVhW8Qz914=" w:salt="n+d98zzVz+U+QE2neJO7sA=="/>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76E2C"/>
    <w:rsid w:val="00090F2F"/>
    <w:rsid w:val="000A5D36"/>
    <w:rsid w:val="001E3E46"/>
    <w:rsid w:val="00240B17"/>
    <w:rsid w:val="003839BF"/>
    <w:rsid w:val="004702B4"/>
    <w:rsid w:val="004B149F"/>
    <w:rsid w:val="004D632E"/>
    <w:rsid w:val="004F3D56"/>
    <w:rsid w:val="00561460"/>
    <w:rsid w:val="006070F0"/>
    <w:rsid w:val="00642EFA"/>
    <w:rsid w:val="006C24F6"/>
    <w:rsid w:val="00726556"/>
    <w:rsid w:val="00B0469F"/>
    <w:rsid w:val="00B873B9"/>
    <w:rsid w:val="00BF5F08"/>
    <w:rsid w:val="00C84777"/>
    <w:rsid w:val="00CC30DF"/>
    <w:rsid w:val="00CC5CBF"/>
    <w:rsid w:val="00D911CD"/>
    <w:rsid w:val="00DC7332"/>
    <w:rsid w:val="00E743FE"/>
    <w:rsid w:val="00E817AD"/>
    <w:rsid w:val="00E87E78"/>
    <w:rsid w:val="00F003E0"/>
    <w:rsid w:val="01107283"/>
    <w:rsid w:val="013B04AF"/>
    <w:rsid w:val="013F1C80"/>
    <w:rsid w:val="014D4226"/>
    <w:rsid w:val="035F5B62"/>
    <w:rsid w:val="054B1243"/>
    <w:rsid w:val="056A5112"/>
    <w:rsid w:val="05BE5868"/>
    <w:rsid w:val="0831435C"/>
    <w:rsid w:val="098E3976"/>
    <w:rsid w:val="0B626F8B"/>
    <w:rsid w:val="0BA820C6"/>
    <w:rsid w:val="0D80050B"/>
    <w:rsid w:val="0DD2713B"/>
    <w:rsid w:val="0E490064"/>
    <w:rsid w:val="0E4A4F72"/>
    <w:rsid w:val="109C216B"/>
    <w:rsid w:val="11C64501"/>
    <w:rsid w:val="138D0757"/>
    <w:rsid w:val="13E4398C"/>
    <w:rsid w:val="16CA708E"/>
    <w:rsid w:val="16EE7258"/>
    <w:rsid w:val="17892312"/>
    <w:rsid w:val="18797458"/>
    <w:rsid w:val="18D67783"/>
    <w:rsid w:val="1AB5506A"/>
    <w:rsid w:val="1B3E22C5"/>
    <w:rsid w:val="1CF83BFA"/>
    <w:rsid w:val="1DC92858"/>
    <w:rsid w:val="1E2622AE"/>
    <w:rsid w:val="230E3B63"/>
    <w:rsid w:val="23EC2A46"/>
    <w:rsid w:val="242A4AD2"/>
    <w:rsid w:val="24845E93"/>
    <w:rsid w:val="25C1363B"/>
    <w:rsid w:val="2AE21E1E"/>
    <w:rsid w:val="2C9367E4"/>
    <w:rsid w:val="2CF84B28"/>
    <w:rsid w:val="2CFF7EE5"/>
    <w:rsid w:val="2D8F5880"/>
    <w:rsid w:val="2E971AE3"/>
    <w:rsid w:val="304709FE"/>
    <w:rsid w:val="30873011"/>
    <w:rsid w:val="32600E2A"/>
    <w:rsid w:val="33BB0464"/>
    <w:rsid w:val="34582769"/>
    <w:rsid w:val="351A7ABC"/>
    <w:rsid w:val="35635518"/>
    <w:rsid w:val="36D42F75"/>
    <w:rsid w:val="371E667F"/>
    <w:rsid w:val="38C66936"/>
    <w:rsid w:val="3CA95CCE"/>
    <w:rsid w:val="3CD60CF3"/>
    <w:rsid w:val="3D3D61A4"/>
    <w:rsid w:val="3D6E0AAA"/>
    <w:rsid w:val="40764994"/>
    <w:rsid w:val="43710A36"/>
    <w:rsid w:val="44D7779F"/>
    <w:rsid w:val="458B5C50"/>
    <w:rsid w:val="493C1AF2"/>
    <w:rsid w:val="4B3A78C8"/>
    <w:rsid w:val="4B8D3FF0"/>
    <w:rsid w:val="4BEA315D"/>
    <w:rsid w:val="4C326B56"/>
    <w:rsid w:val="4D1F2F41"/>
    <w:rsid w:val="4D9F6C37"/>
    <w:rsid w:val="4E3F1A3D"/>
    <w:rsid w:val="4EC917E6"/>
    <w:rsid w:val="502F0C44"/>
    <w:rsid w:val="50B31F53"/>
    <w:rsid w:val="52807E6D"/>
    <w:rsid w:val="52F50261"/>
    <w:rsid w:val="542B731D"/>
    <w:rsid w:val="575177BB"/>
    <w:rsid w:val="57BC002D"/>
    <w:rsid w:val="58957134"/>
    <w:rsid w:val="58B403AE"/>
    <w:rsid w:val="58E46088"/>
    <w:rsid w:val="59FD29AB"/>
    <w:rsid w:val="5A8D45D9"/>
    <w:rsid w:val="5C2610B6"/>
    <w:rsid w:val="5CAC60D0"/>
    <w:rsid w:val="5CF67827"/>
    <w:rsid w:val="5D2F7B31"/>
    <w:rsid w:val="5D8416F7"/>
    <w:rsid w:val="60A64BF2"/>
    <w:rsid w:val="61EB7F09"/>
    <w:rsid w:val="62373B72"/>
    <w:rsid w:val="628B4E13"/>
    <w:rsid w:val="644D2BDF"/>
    <w:rsid w:val="671110CE"/>
    <w:rsid w:val="69085C1A"/>
    <w:rsid w:val="6B5424D8"/>
    <w:rsid w:val="6BEA4E88"/>
    <w:rsid w:val="6D763CAB"/>
    <w:rsid w:val="6F9406F7"/>
    <w:rsid w:val="71AC58D0"/>
    <w:rsid w:val="721944C5"/>
    <w:rsid w:val="745B12C0"/>
    <w:rsid w:val="74C431E5"/>
    <w:rsid w:val="75646EFC"/>
    <w:rsid w:val="759A00B6"/>
    <w:rsid w:val="75EE1A0C"/>
    <w:rsid w:val="78AF2A24"/>
    <w:rsid w:val="7A7957AE"/>
    <w:rsid w:val="7AB61D86"/>
    <w:rsid w:val="7B6E3D14"/>
    <w:rsid w:val="7CB110A9"/>
    <w:rsid w:val="7E046FB3"/>
    <w:rsid w:val="7F560AEA"/>
    <w:rsid w:val="7F744F76"/>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alloon Text"/>
    <w:basedOn w:val="1"/>
    <w:link w:val="13"/>
    <w:qFormat/>
    <w:uiPriority w:val="0"/>
    <w:rPr>
      <w:sz w:val="18"/>
      <w:szCs w:val="18"/>
    </w:rPr>
  </w:style>
  <w:style w:type="paragraph" w:styleId="4">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character" w:styleId="9">
    <w:name w:val="annotation reference"/>
    <w:unhideWhenUsed/>
    <w:qFormat/>
    <w:uiPriority w:val="99"/>
    <w:rPr>
      <w:sz w:val="21"/>
      <w:szCs w:val="21"/>
    </w:rPr>
  </w:style>
  <w:style w:type="paragraph" w:customStyle="1" w:styleId="10">
    <w:name w:val="msonormalcxspmiddle"/>
    <w:basedOn w:val="1"/>
    <w:qFormat/>
    <w:uiPriority w:val="0"/>
    <w:pPr>
      <w:widowControl/>
      <w:spacing w:before="100" w:beforeLines="0" w:beforeAutospacing="1" w:after="100" w:afterLines="0" w:afterAutospacing="1"/>
      <w:jc w:val="left"/>
    </w:pPr>
    <w:rPr>
      <w:rFonts w:ascii="宋体" w:hAnsi="宋体" w:cs="宋体"/>
      <w:kern w:val="0"/>
      <w:sz w:val="24"/>
      <w:szCs w:val="24"/>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_Style 11"/>
    <w:unhideWhenUsed/>
    <w:qFormat/>
    <w:uiPriority w:val="99"/>
    <w:rPr>
      <w:rFonts w:ascii="Times New Roman" w:hAnsi="Times New Roman" w:eastAsia="宋体" w:cs="Times New Roman"/>
      <w:kern w:val="2"/>
      <w:sz w:val="21"/>
      <w:lang w:val="en-US" w:eastAsia="zh-CN" w:bidi="ar-SA"/>
    </w:rPr>
  </w:style>
  <w:style w:type="character" w:customStyle="1" w:styleId="13">
    <w:name w:val="批注框文本 字符"/>
    <w:link w:val="3"/>
    <w:qFormat/>
    <w:uiPriority w:val="0"/>
    <w:rPr>
      <w:rFonts w:ascii="Times New Roman" w:hAnsi="Times New Roman"/>
      <w:kern w:val="2"/>
      <w:sz w:val="18"/>
      <w:szCs w:val="18"/>
    </w:rPr>
  </w:style>
  <w:style w:type="character" w:customStyle="1" w:styleId="14">
    <w:name w:val="页眉 字符"/>
    <w:link w:val="5"/>
    <w:qFormat/>
    <w:uiPriority w:val="0"/>
    <w:rPr>
      <w:rFonts w:ascii="Times New Roman" w:hAnsi="Times New Roman"/>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Kingsoft</Company>
  <Pages>9</Pages>
  <Words>1956</Words>
  <Characters>11150</Characters>
  <Lines>92</Lines>
  <Paragraphs>26</Paragraphs>
  <TotalTime>4</TotalTime>
  <ScaleCrop>false</ScaleCrop>
  <LinksUpToDate>false</LinksUpToDate>
  <CharactersWithSpaces>13080</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2022-05-12T01:19:00Z</dcterms:created>
  <dc:creator>李少华</dc:creator>
  <cp:lastModifiedBy>应心茹</cp:lastModifiedBy>
  <dcterms:modified xsi:type="dcterms:W3CDTF">2023-01-30T07:18:39Z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