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19001号开放式净值型银行理财计划产品说明书》、《温州银行“金鹿理财-温盈”19001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2019年4月</w:t>
            </w:r>
            <w:r>
              <w:rPr>
                <w:rFonts w:hint="eastAsia"/>
                <w:sz w:val="18"/>
                <w:szCs w:val="18"/>
                <w:u w:val="single"/>
                <w:lang w:val="en-US" w:eastAsia="zh-CN"/>
              </w:rPr>
              <w:t>30</w:t>
            </w:r>
            <w:r>
              <w:rPr>
                <w:rFonts w:hint="eastAsia"/>
                <w:sz w:val="18"/>
                <w:szCs w:val="18"/>
                <w:u w:val="single"/>
              </w:rPr>
              <w:t>日至2019年5月6日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首个投资运作周期的业绩比较基准为4.9%（年化）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本理财计划成立日为2019年5月7日。温州银行有权根据实际募集情况选择产品提前成立，若温州银行采取以上措施，温州银行将就产品相应要素的调整事宜于提前成立日前的一个工作日在温州银行网站予以公告。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：本理财计划成立日为2019年5月7日，从成立日起，每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本产品预计到期终止日为2029年5月7日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19001号开放式净值型银行理财计划风险揭示书》、《温州银行“金鹿理财”银行理财计划合约》、《温州银行“金鹿理财-温盈”19001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kr9DxByjWmBsXmG29wcF83k0WE=" w:salt="Lpa4/oJL/FNeomKjx0sAy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AF1446"/>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756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2023-04-21T02:33:10Z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