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“金鹿理财-温盈”20041号开放式净值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20041号开放式净值型银行理财计划产品说明书》、《温州银行“金鹿理财-温盈”20041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温盈”20041号开放式净值型银行理财计划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C1092220000092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2020年4月22日至2020年4月28日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《温州银行“金鹿理财-温盈”20041号开放式净值型（第i期）银行理财计划开放认购（申购）申请书》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：本理财计划成立日为2020年4月29日，从成立日起，每</w:t>
      </w:r>
      <w:r>
        <w:rPr>
          <w:rFonts w:ascii="宋体" w:hAnsi="宋体"/>
          <w:sz w:val="18"/>
        </w:rPr>
        <w:t>【</w:t>
      </w:r>
      <w:r>
        <w:rPr>
          <w:rFonts w:hint="eastAsia" w:ascii="宋体" w:hAnsi="宋体"/>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本产品预计到期终止日为2030年4月29日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20041号开放式净值型银行理财计划风险揭示书》、《温州银行“金鹿理财”银行理财计划合约》、《温州银行“金鹿理财-温盈”20041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nQXU8rK95fW0QTSL19Mn/guQkE=" w:salt="DSo/wGKxAYjQHNikKgK48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E26F42"/>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2023-05-06T06:59:49Z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