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23017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23017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 xml:space="preserve"> 120 </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（稳健型）：总体风险程度较低，银行不承诺本金保障但本金损失可能性很小，产品收益随投资表现变动。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23017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23017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hint="eastAsia" w:ascii="黑体" w:eastAsia="黑体"/>
          <w:bCs/>
          <w:sz w:val="30"/>
          <w:szCs w:val="30"/>
        </w:rPr>
      </w:pP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23017</w:t>
      </w:r>
      <w:r>
        <w:rPr>
          <w:rFonts w:hint="eastAsia" w:ascii="黑体" w:eastAsia="黑体"/>
          <w:bCs/>
          <w:sz w:val="30"/>
          <w:szCs w:val="30"/>
        </w:rPr>
        <w:t>号（共同富裕特别款）</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rFonts w:hint="eastAsia"/>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23017</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PR5</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PR4</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PR3</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PR2</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PR1</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0" r="7620" b="8255"/>
                <wp:docPr id="47"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23017</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JX2317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C1092223000056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120</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2023年5月16日至2023年5月22日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rPr>
              <w:t>2023年5月23日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u w:val="single"/>
              </w:rPr>
              <w:t>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3.55%（年化）</w:t>
            </w:r>
          </w:p>
          <w:p>
            <w:pPr>
              <w:adjustRightInd w:val="0"/>
              <w:snapToGrid w:val="0"/>
              <w:spacing w:line="288" w:lineRule="auto"/>
              <w:jc w:val="left"/>
              <w:rPr>
                <w:rFonts w:hint="eastAsia"/>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sz w:val="18"/>
                <w:szCs w:val="18"/>
              </w:rPr>
            </w:pPr>
            <w:r>
              <w:rPr>
                <w:rFonts w:hint="eastAsia"/>
                <w:sz w:val="18"/>
                <w:szCs w:val="18"/>
              </w:rPr>
              <w:t>单笔认购</w:t>
            </w:r>
            <w:r>
              <w:rPr>
                <w:sz w:val="18"/>
                <w:szCs w:val="18"/>
              </w:rPr>
              <w:t>/</w:t>
            </w:r>
            <w:r>
              <w:rPr>
                <w:rFonts w:hint="eastAsia"/>
                <w:sz w:val="18"/>
                <w:szCs w:val="18"/>
              </w:rPr>
              <w:t>申购</w:t>
            </w:r>
          </w:p>
          <w:p>
            <w:pPr>
              <w:adjustRightInd w:val="0"/>
              <w:snapToGrid w:val="0"/>
              <w:spacing w:line="288" w:lineRule="auto"/>
              <w:jc w:val="center"/>
              <w:rPr>
                <w:sz w:val="18"/>
                <w:szCs w:val="18"/>
              </w:rPr>
            </w:pPr>
            <w:r>
              <w:rPr>
                <w:rFonts w:hint="eastAsia"/>
                <w:sz w:val="18"/>
                <w:szCs w:val="18"/>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rFonts w:hint="eastAsia"/>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rPr>
      </w:pPr>
      <w:r>
        <w:rPr>
          <w:rFonts w:hint="eastAsia"/>
          <w:sz w:val="18"/>
          <w:szCs w:val="18"/>
        </w:rPr>
        <w:t>【</w:t>
      </w:r>
      <w:r>
        <w:rPr>
          <w:rFonts w:hint="eastAsia" w:ascii="Times New Roman" w:hAnsi="Times New Roman"/>
          <w:sz w:val="18"/>
          <w:szCs w:val="18"/>
        </w:rPr>
        <w:t>暂停估值</w:t>
      </w:r>
      <w:r>
        <w:rPr>
          <w:rFonts w:hint="eastAsia"/>
          <w:sz w:val="18"/>
          <w:szCs w:val="18"/>
        </w:rPr>
        <w:t>】</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理财产品投资所涉及的证券交易所遇法定节假日或其他原因暂停营业时，或因任何不可抗力致使无法准确评估资产价值时，或</w:t>
      </w:r>
      <w:r>
        <w:rPr>
          <w:rFonts w:hint="eastAsia"/>
          <w:sz w:val="18"/>
          <w:szCs w:val="18"/>
        </w:rPr>
        <w:t>存在中国银保监会认定的导致无法准确估值的其它情形时</w:t>
      </w:r>
      <w:r>
        <w:rPr>
          <w:rFonts w:hint="eastAsia" w:ascii="Times New Roman" w:hAnsi="Times New Roman"/>
          <w:sz w:val="18"/>
          <w:szCs w:val="18"/>
        </w:rPr>
        <w:t>，可暂停估值</w:t>
      </w:r>
      <w:r>
        <w:rPr>
          <w:rFonts w:hint="eastAsia"/>
          <w:sz w:val="18"/>
          <w:szCs w:val="18"/>
        </w:rPr>
        <w:t>，由此造成的损失，产品管理人和托管人不承担责任</w:t>
      </w:r>
      <w:r>
        <w:rPr>
          <w:rFonts w:hint="eastAsia" w:ascii="Times New Roman" w:hAnsi="Times New Roman"/>
          <w:sz w:val="18"/>
          <w:szCs w:val="18"/>
        </w:rPr>
        <w:t>。</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本产品业绩比较基准为3.55%（年化）。本产品业绩比较基准仅作为计提产品浮动管理费的依据，不构成温州银行对该理财产品的任何收益承诺。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rPr>
        <w:t>2023年5月16日至2023年5月22日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4、终止（提前终止）</w:t>
      </w:r>
    </w:p>
    <w:p>
      <w:pPr>
        <w:adjustRightInd w:val="0"/>
        <w:snapToGrid w:val="0"/>
        <w:spacing w:line="286" w:lineRule="auto"/>
        <w:rPr>
          <w:sz w:val="18"/>
        </w:rPr>
      </w:pPr>
      <w:r>
        <w:rPr>
          <w:rFonts w:hint="eastAsia"/>
          <w:color w:val="000000"/>
          <w:sz w:val="18"/>
          <w:szCs w:val="18"/>
        </w:rPr>
        <w:t>本产品预计到期终止日为2023年9月20日</w:t>
      </w:r>
      <w:r>
        <w:rPr>
          <w:rFonts w:hint="eastAsia"/>
          <w:sz w:val="18"/>
        </w:rPr>
        <w:t>，如发生下列情形之一的，温州银行有权但无义务终止理财计划：</w:t>
      </w:r>
    </w:p>
    <w:p>
      <w:pPr>
        <w:numPr>
          <w:ilvl w:val="0"/>
          <w:numId w:val="1"/>
        </w:numPr>
        <w:adjustRightInd w:val="0"/>
        <w:snapToGrid w:val="0"/>
        <w:spacing w:line="286" w:lineRule="auto"/>
        <w:rPr>
          <w:sz w:val="18"/>
          <w:szCs w:val="18"/>
        </w:rPr>
      </w:pPr>
      <w:r>
        <w:rPr>
          <w:rFonts w:hint="eastAsia"/>
          <w:sz w:val="18"/>
          <w:szCs w:val="18"/>
        </w:rPr>
        <w:t>如遇国家金融政策出现重大调整并影响到本产品的正常运行时，银行有权提前终止本产品。</w:t>
      </w:r>
    </w:p>
    <w:p>
      <w:pPr>
        <w:adjustRightInd w:val="0"/>
        <w:snapToGrid w:val="0"/>
        <w:spacing w:line="286" w:lineRule="auto"/>
        <w:rPr>
          <w:sz w:val="18"/>
          <w:szCs w:val="18"/>
        </w:rPr>
      </w:pPr>
      <w:r>
        <w:rPr>
          <w:rFonts w:hint="eastAsia"/>
          <w:sz w:val="18"/>
        </w:rPr>
        <w:t>（2）因本理财产品投向的金融资产所涉及的相关主体信用恶化，市场利率大幅下滑，温州银行合理判断将影响本理财产品正常运作的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sz w:val="18"/>
        </w:rPr>
        <w:t>。</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rPr>
        <w:t>0</w:t>
      </w:r>
      <w:r>
        <w:rPr>
          <w:rFonts w:hint="eastAsia"/>
          <w:sz w:val="18"/>
          <w:szCs w:val="18"/>
        </w:rPr>
        <w:t>%作为浮动管理费；本理财产品到期日（提前终止日）的折合年化收益率若小于或等于业绩比较基准则不收取浮动管理费。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3.55%。到期时扣除托管费、销售服务费、固定管理费及其他费用（如有）后，如产品净值为1.013，此时， (1.013/1.00-1)×365/120=3.95%&gt;3.55%，即投资收益超越业绩比较基准，则投资管理人对超过业绩比较基准部分收益收取浮动管理费，浮动管理费为：1,000,000.00×[1.013-1.00×(1+3.55%×120/365)]×80%=1063.01（元）。扣除浮动管理费后，客户最终收益为：1,000,000.00×（1.013-1.00）-1063.01=11936.99（元），产品到期时，客户获得的实际收益相当于达到年化收益率水平为：11936.99/1,000,000.00×365/120=3.63%。</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 120天。假设产品业绩比较基准为3.55%。到期时扣除托管费、销售服务费、固定管理费及其他费用（如有）后，如产品净值为1.01，此时，(1.01/1.00-1)×365/120=3.04%&lt;3.55%，即投资收益未达到业绩比较基准，则投资管理人不收取浮动管理费，客户最终收益为：1,000,000.00×(1.01-1.00）=10000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3.55%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rFonts w:hint="eastAsia"/>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hint="eastAsia"/>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23017</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int="eastAsia" w:hAnsi="宋体" w:cs="宋体"/>
        </w:rPr>
      </w:pP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xiF3pkmqQ74WQTpZAUjhdePT3k=" w:salt="7qlIEvpxJob7mzskFPUimQ=="/>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BB029F"/>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6BF3BD1"/>
    <w:rsid w:val="77D232A2"/>
    <w:rsid w:val="78115854"/>
    <w:rsid w:val="7BF13C4F"/>
    <w:rsid w:val="7DDE5540"/>
    <w:rsid w:val="7DE500BC"/>
    <w:rsid w:val="7E1750DA"/>
    <w:rsid w:val="FF7E09BD"/>
    <w:rsid w:val="FFDBE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Plain Text"/>
    <w:basedOn w:val="1"/>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7">
    <w:name w:val="Normal (Web)"/>
    <w:basedOn w:val="1"/>
    <w:unhideWhenUsed/>
    <w:qFormat/>
    <w:uiPriority w:val="99"/>
    <w:rPr>
      <w:sz w:val="24"/>
    </w:rPr>
  </w:style>
  <w:style w:type="paragraph" w:styleId="8">
    <w:name w:val="annotation subject"/>
    <w:basedOn w:val="2"/>
    <w:next w:val="2"/>
    <w:link w:val="19"/>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4"/>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6"/>
    <w:semiHidden/>
    <w:qFormat/>
    <w:uiPriority w:val="99"/>
    <w:rPr>
      <w:sz w:val="18"/>
      <w:szCs w:val="18"/>
    </w:rPr>
  </w:style>
  <w:style w:type="character" w:customStyle="1" w:styleId="18">
    <w:name w:val="页脚 字符"/>
    <w:link w:val="5"/>
    <w:qFormat/>
    <w:uiPriority w:val="99"/>
    <w:rPr>
      <w:sz w:val="18"/>
      <w:szCs w:val="18"/>
    </w:rPr>
  </w:style>
  <w:style w:type="character" w:customStyle="1" w:styleId="19">
    <w:name w:val="批注主题 字符"/>
    <w:link w:val="8"/>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6</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2022-01-18T01:29:00Z</dcterms:created>
  <dc:creator>陈浩01</dc:creator>
  <cp:lastModifiedBy>应心茹</cp:lastModifiedBy>
  <cp:lastPrinted>2016-09-03T07:01:00Z</cp:lastPrinted>
  <dcterms:modified xsi:type="dcterms:W3CDTF">2023-05-12T06:39:21Z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FFD350B5F327EE39B3253D64A18947E5_42</vt:lpwstr>
  </property>
</Properties>
</file>