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13号</w:t>
            </w:r>
            <w:r>
              <w:rPr>
                <w:rFonts w:hint="eastAsia" w:ascii="宋体" w:hAnsi="宋体" w:eastAsia="宋体" w:cs="Times New Roman"/>
                <w:kern w:val="0"/>
                <w:sz w:val="18"/>
                <w:szCs w:val="18"/>
                <w:lang w:val="en-US" w:eastAsia="zh-CN" w:bidi="ar-SA"/>
              </w:rPr>
              <w:t>开放式净值型银行理财计划</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JX0013</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期91天</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2023年5月16日至2023年5月22日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2023年5月23日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bookmarkEnd w:id="0"/>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2023年8月15日</w:t>
            </w:r>
            <w:r>
              <w:rPr>
                <w:rFonts w:hint="eastAsia" w:ascii="宋体" w:hAnsi="宋体" w:eastAsia="宋体" w:cs="Times New Roman"/>
                <w:color w:val="000000"/>
                <w:kern w:val="0"/>
                <w:sz w:val="18"/>
                <w:szCs w:val="18"/>
                <w:u w:val="single"/>
                <w:lang w:val="en-US" w:eastAsia="zh-Hans" w:bidi="ar-SA"/>
              </w:rPr>
              <w:t>至2023年8月21日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2023年8月22日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“金鹿理财-普惠季享”13号开放式净值型银行理财计划风险揭示书》、《温州银行“金鹿理财-普惠季享”13号开放式净值型银行理财计划产品说明书》、《温州银行“金鹿理财-普惠季享”13号开放式净值型（第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511E88BC"/>
    <w:rsid w:val="7F7EC3B3"/>
    <w:rsid w:val="BBDDF786"/>
    <w:rsid w:val="E7EC35E9"/>
    <w:rsid w:val="EAFE2858"/>
    <w:rsid w:val="FE34B7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资管</cp:lastModifiedBy>
  <dcterms:modified xsi:type="dcterms:W3CDTF">2023-05-11T16:49:44Z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25583616BC744B882FE34564950C2AAA_42</vt:lpwstr>
  </property>
</Properties>
</file>