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2023年5月17日至2023年5月23日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2024年2月21日</w:t>
            </w:r>
            <w:r>
              <w:rPr>
                <w:rFonts w:hint="eastAsia" w:ascii="宋体" w:hAnsi="宋体" w:eastAsia="宋体" w:cs="Times New Roman"/>
                <w:color w:val="000000"/>
                <w:kern w:val="0"/>
                <w:sz w:val="18"/>
                <w:szCs w:val="18"/>
                <w:u w:val="single"/>
                <w:lang w:val="en-US" w:eastAsia="zh-Hans" w:bidi="ar-SA"/>
              </w:rPr>
              <w:t>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“金鹿理财-温盈”19012号开放式净值型银行理财计划风险揭示书》、《温州银行“金鹿理财-温盈”19012号开放式净值型银行理财计划产品说明书》、《温州银行“金鹿理财-温盈”19012号开放式净值型（第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enaBoaaleZlSSmMA06jiPRmpX+o=" w:salt="Uyaooywt9LGUeVQmOlBa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511E88BC"/>
    <w:rsid w:val="68EC372E"/>
    <w:rsid w:val="7F7EC3B3"/>
    <w:rsid w:val="89C77520"/>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2023-05-12T06:32:32Z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