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20043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“金鹿理财-温盈”20043号开放式净值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20043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20043号开放式净值型银行理财计划产品说明书》、《温州银行“金鹿理财-温盈”20043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温盈”20043号开放式净值型银行理财计划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2020年4月29日至2020年5月5日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279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《温州银行“金鹿理财-温盈”20043号开放式净值型（第i期）银行理财计划开放认购（申购）申请书》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《温州银行“金鹿理财-温盈”20043号开放式净值型（第i期）银行理财计划开放认购（申购）申请书》。投资运作周期到期时，该周期内的资金收益情况根据所投资资产组合的实际运作情况确定。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：本理财计划成立日为2020年5月6日，从成立日起，每</w:t>
      </w:r>
      <w:r>
        <w:rPr>
          <w:rFonts w:ascii="宋体" w:hAnsi="宋体"/>
          <w:sz w:val="18"/>
        </w:rPr>
        <w:t>【</w:t>
      </w:r>
      <w:r>
        <w:rPr>
          <w:rFonts w:hint="eastAsia" w:ascii="宋体" w:hAnsi="宋体"/>
          <w:sz w:val="18"/>
        </w:rPr>
        <w:t>279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本产品预计到期终止日为2030年5月6日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20043号开放式净值型银行理财计划风险揭示书》、《温州银行“金鹿理财”银行理财计划合约》、《温州银行“金鹿理财-温盈”20043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giMvFDVpIuXo8LP/8qdfCtfyOY=" w:salt="a1vxixiKJIm0DtwQQZgGM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0B4526D"/>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2023-05-22T01:51:58Z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