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2023年6月2日至2023年6月8日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2024年6月12日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2026年6月3日</w:t>
            </w:r>
            <w:r>
              <w:rPr>
                <w:rFonts w:hint="eastAsia" w:ascii="宋体" w:hAnsi="宋体" w:eastAsia="宋体" w:cs="Times New Roman"/>
                <w:color w:val="000000"/>
                <w:kern w:val="0"/>
                <w:sz w:val="18"/>
                <w:szCs w:val="18"/>
                <w:u w:val="single"/>
                <w:lang w:val="en-US" w:eastAsia="zh-Hans" w:bidi="ar-SA"/>
              </w:rPr>
              <w:t>至2026年6月9日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20004号开放式净值型银行理财计划风险揭示书》、《温州银行“金鹿理财-普惠颐养”20004号开放式净值型银行理财计划产品说明书》、《温州银行“金鹿理财-普惠颐养”20004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MQV+4IBcPIKvGNyvRvnc1v0LHpM=" w:salt="skkth4J6DT2f+0aNSu9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54D3236"/>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2023-05-26T01:20:44Z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