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温盈”20050号开放式净值型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20050号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2023年5月31日至2023年6月6日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2024年6月5日</w:t>
            </w:r>
            <w:r>
              <w:rPr>
                <w:rFonts w:hint="eastAsia" w:ascii="宋体" w:hAnsi="宋体" w:eastAsia="宋体" w:cs="Times New Roman"/>
                <w:color w:val="000000"/>
                <w:kern w:val="0"/>
                <w:sz w:val="18"/>
                <w:szCs w:val="18"/>
                <w:u w:val="single"/>
                <w:lang w:val="en-US" w:eastAsia="zh-Hans" w:bidi="ar-SA"/>
              </w:rPr>
              <w:t>至2024年6月11日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2024年6月12日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“金鹿理财-温盈”20050号开放式净值型银行理财计划风险揭示书》、《温州银行“金鹿理财-温盈”20050号开放式净值型银行理财计划产品说明书》、《温州银行“金鹿理财-温盈”20050号开放式净值型（第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iEiHO67ITHFu2AhyX6qNync1lPU=" w:salt="8P1iaHgCX6z9tkpR0l9B/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1C90406"/>
    <w:rsid w:val="3BEF0754"/>
    <w:rsid w:val="511E88BC"/>
    <w:rsid w:val="7F7EC3B3"/>
    <w:rsid w:val="BBDDF786"/>
    <w:rsid w:val="DEBCE5EE"/>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15</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2023-05-26T01:20:48Z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