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温盈”19014号开放式净值型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19014号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2023年5月31日至2023年6月6日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2024年3月6日</w:t>
            </w:r>
            <w:r>
              <w:rPr>
                <w:rFonts w:hint="eastAsia" w:ascii="宋体" w:hAnsi="宋体" w:eastAsia="宋体" w:cs="Times New Roman"/>
                <w:color w:val="000000"/>
                <w:kern w:val="0"/>
                <w:sz w:val="18"/>
                <w:szCs w:val="18"/>
                <w:u w:val="single"/>
                <w:lang w:val="en-US" w:eastAsia="zh-Hans" w:bidi="ar-SA"/>
              </w:rPr>
              <w:t>至2024年3月12日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2024年3月13日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“金鹿理财-温盈”19014号开放式净值型银行理财计划风险揭示书》、《温州银行“金鹿理财-温盈”19014号开放式净值型银行理财计划产品说明书》、《温州银行“金鹿理财-温盈”19014号开放式净值型（第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xr3JiuZdHymjMYjygGejS8zo8aU=" w:salt="mbwmAKdV+LX0IzIOT23NZ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3DD761C"/>
    <w:rsid w:val="73FD063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2023-05-26T01:20:47Z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