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23018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23018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 xml:space="preserve"> 120 </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hint="eastAsia" w:ascii="黑体" w:eastAsia="黑体"/>
          <w:bCs/>
          <w:sz w:val="30"/>
          <w:szCs w:val="30"/>
        </w:rPr>
      </w:pP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23018</w:t>
      </w:r>
      <w:r>
        <w:rPr>
          <w:rFonts w:hint="eastAsia" w:ascii="黑体" w:eastAsia="黑体"/>
          <w:bCs/>
          <w:sz w:val="30"/>
          <w:szCs w:val="30"/>
        </w:rPr>
        <w:t>号（共同富裕特别款）</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23018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PR5</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PR4</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PR3</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PR2</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PR1</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0" r="7620" b="8255"/>
                <wp:docPr id="47"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23018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JX2318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C1092223000057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120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2023年6月13日至2023年6月19日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3.4%（年化）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rPr>
      </w:pPr>
      <w:r>
        <w:rPr>
          <w:rFonts w:hint="eastAsia"/>
          <w:sz w:val="18"/>
          <w:szCs w:val="18"/>
        </w:rPr>
        <w:t>【</w:t>
      </w:r>
      <w:r>
        <w:rPr>
          <w:rFonts w:hint="eastAsia" w:ascii="Times New Roman" w:hAnsi="Times New Roman"/>
          <w:sz w:val="18"/>
          <w:szCs w:val="18"/>
        </w:rPr>
        <w:t>暂停估值</w:t>
      </w:r>
      <w:r>
        <w:rPr>
          <w:rFonts w:hint="eastAsia"/>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理财产品投资所涉及的证券交易所遇法定节假日或其他原因暂停营业时，或因任何不可抗力致使无法准确评估资产价值时，或</w:t>
      </w:r>
      <w:r>
        <w:rPr>
          <w:rFonts w:hint="eastAsia"/>
          <w:sz w:val="18"/>
          <w:szCs w:val="18"/>
        </w:rPr>
        <w:t>存在中国银保监会认定的导致无法准确估值的其它情形时</w:t>
      </w:r>
      <w:r>
        <w:rPr>
          <w:rFonts w:hint="eastAsia" w:ascii="Times New Roman" w:hAnsi="Times New Roman"/>
          <w:sz w:val="18"/>
          <w:szCs w:val="18"/>
        </w:rPr>
        <w:t>，可暂停估值</w:t>
      </w:r>
      <w:r>
        <w:rPr>
          <w:rFonts w:hint="eastAsia"/>
          <w:sz w:val="18"/>
          <w:szCs w:val="18"/>
        </w:rPr>
        <w:t>，由此造成的损失，产品管理人和托管人不承担责任</w:t>
      </w:r>
      <w:r>
        <w:rPr>
          <w:rFonts w:hint="eastAsia" w:ascii="Times New Roman" w:hAnsi="Times New Roman"/>
          <w:sz w:val="18"/>
          <w:szCs w:val="18"/>
        </w:rPr>
        <w:t>。</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本产品业绩比较基准为3.4%（年化）。本产品业绩比较基准仅作为计提产品浮动管理费的依据，不构成温州银行对该理财产品的任何收益承诺。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2023年6月13日至2023年6月19日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color w:val="000000"/>
          <w:sz w:val="18"/>
          <w:szCs w:val="18"/>
        </w:rPr>
        <w:t>本产品预计到期终止日为2023年10月18日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w:t>
      </w:r>
      <w:r>
        <w:rPr>
          <w:rFonts w:hint="default"/>
          <w:sz w:val="18"/>
          <w:szCs w:val="18"/>
        </w:rPr>
        <w:t>4</w:t>
      </w:r>
      <w:r>
        <w:rPr>
          <w:rFonts w:hint="eastAsia"/>
          <w:sz w:val="18"/>
          <w:szCs w:val="18"/>
        </w:rPr>
        <w:t>%。到期时扣除托管费、销售服务费、固定管理费及其他费用（如有）后，如产品净值为1.01</w:t>
      </w:r>
      <w:r>
        <w:rPr>
          <w:rFonts w:hint="default"/>
          <w:sz w:val="18"/>
          <w:szCs w:val="18"/>
        </w:rPr>
        <w:t>2</w:t>
      </w:r>
      <w:r>
        <w:rPr>
          <w:rFonts w:hint="eastAsia"/>
          <w:sz w:val="18"/>
          <w:szCs w:val="18"/>
        </w:rPr>
        <w:t>，此时， (1.01</w:t>
      </w:r>
      <w:r>
        <w:rPr>
          <w:rFonts w:hint="default"/>
          <w:sz w:val="18"/>
          <w:szCs w:val="18"/>
        </w:rPr>
        <w:t>2</w:t>
      </w:r>
      <w:r>
        <w:rPr>
          <w:rFonts w:hint="eastAsia"/>
          <w:sz w:val="18"/>
          <w:szCs w:val="18"/>
        </w:rPr>
        <w:t>/1.00-1)×365/120=3.</w:t>
      </w:r>
      <w:r>
        <w:rPr>
          <w:rFonts w:hint="default"/>
          <w:sz w:val="18"/>
          <w:szCs w:val="18"/>
        </w:rPr>
        <w:t>6</w:t>
      </w:r>
      <w:r>
        <w:rPr>
          <w:rFonts w:hint="eastAsia"/>
          <w:sz w:val="18"/>
          <w:szCs w:val="18"/>
        </w:rPr>
        <w:t>5%&gt;3.</w:t>
      </w:r>
      <w:r>
        <w:rPr>
          <w:rFonts w:hint="default"/>
          <w:sz w:val="18"/>
          <w:szCs w:val="18"/>
        </w:rPr>
        <w:t>4</w:t>
      </w:r>
      <w:r>
        <w:rPr>
          <w:rFonts w:hint="eastAsia"/>
          <w:sz w:val="18"/>
          <w:szCs w:val="18"/>
        </w:rPr>
        <w:t>%，即投资收益超越业绩比较基准，则投资管理人对超过业绩比较基准部分收益收取浮动管理费，浮动管理费为：1,000,000.00×[1.01</w:t>
      </w:r>
      <w:r>
        <w:rPr>
          <w:rFonts w:hint="default"/>
          <w:sz w:val="18"/>
          <w:szCs w:val="18"/>
        </w:rPr>
        <w:t>2</w:t>
      </w:r>
      <w:r>
        <w:rPr>
          <w:rFonts w:hint="eastAsia"/>
          <w:sz w:val="18"/>
          <w:szCs w:val="18"/>
        </w:rPr>
        <w:t>-1.00×(1+3.</w:t>
      </w:r>
      <w:r>
        <w:rPr>
          <w:rFonts w:hint="default"/>
          <w:sz w:val="18"/>
          <w:szCs w:val="18"/>
        </w:rPr>
        <w:t>4</w:t>
      </w:r>
      <w:r>
        <w:rPr>
          <w:rFonts w:hint="eastAsia"/>
          <w:sz w:val="18"/>
          <w:szCs w:val="18"/>
        </w:rPr>
        <w:t>%×120/365)]×80%=</w:t>
      </w:r>
      <w:r>
        <w:rPr>
          <w:rFonts w:hint="default"/>
          <w:sz w:val="18"/>
          <w:szCs w:val="18"/>
        </w:rPr>
        <w:t>657</w:t>
      </w:r>
      <w:r>
        <w:rPr>
          <w:rFonts w:hint="eastAsia"/>
          <w:sz w:val="18"/>
          <w:szCs w:val="18"/>
          <w:lang w:val="en-US" w:eastAsia="zh-Hans"/>
        </w:rPr>
        <w:t>.</w:t>
      </w:r>
      <w:r>
        <w:rPr>
          <w:rFonts w:hint="default"/>
          <w:sz w:val="18"/>
          <w:szCs w:val="18"/>
          <w:lang w:eastAsia="zh-Hans"/>
        </w:rPr>
        <w:t>53</w:t>
      </w:r>
      <w:r>
        <w:rPr>
          <w:rFonts w:hint="eastAsia"/>
          <w:sz w:val="18"/>
          <w:szCs w:val="18"/>
        </w:rPr>
        <w:t>（元）。扣除浮动管理费后，客户最终收益为：1,000,000.00×（1.01</w:t>
      </w:r>
      <w:r>
        <w:rPr>
          <w:rFonts w:hint="default"/>
          <w:sz w:val="18"/>
          <w:szCs w:val="18"/>
        </w:rPr>
        <w:t>2</w:t>
      </w:r>
      <w:r>
        <w:rPr>
          <w:rFonts w:hint="eastAsia"/>
          <w:sz w:val="18"/>
          <w:szCs w:val="18"/>
        </w:rPr>
        <w:t>-1.00）-</w:t>
      </w:r>
      <w:r>
        <w:rPr>
          <w:rFonts w:hint="default"/>
          <w:sz w:val="18"/>
          <w:szCs w:val="18"/>
        </w:rPr>
        <w:t>657</w:t>
      </w:r>
      <w:r>
        <w:rPr>
          <w:rFonts w:hint="eastAsia"/>
          <w:sz w:val="18"/>
          <w:szCs w:val="18"/>
          <w:lang w:val="en-US" w:eastAsia="zh-Hans"/>
        </w:rPr>
        <w:t>.</w:t>
      </w:r>
      <w:r>
        <w:rPr>
          <w:rFonts w:hint="default"/>
          <w:sz w:val="18"/>
          <w:szCs w:val="18"/>
          <w:lang w:eastAsia="zh-Hans"/>
        </w:rPr>
        <w:t>53</w:t>
      </w:r>
      <w:r>
        <w:rPr>
          <w:rFonts w:hint="eastAsia"/>
          <w:sz w:val="18"/>
          <w:szCs w:val="18"/>
        </w:rPr>
        <w:t>=11</w:t>
      </w:r>
      <w:r>
        <w:rPr>
          <w:rFonts w:hint="default"/>
          <w:sz w:val="18"/>
          <w:szCs w:val="18"/>
        </w:rPr>
        <w:t>342</w:t>
      </w:r>
      <w:r>
        <w:rPr>
          <w:rFonts w:hint="eastAsia"/>
          <w:sz w:val="18"/>
          <w:szCs w:val="18"/>
          <w:lang w:val="en-US" w:eastAsia="zh-Hans"/>
        </w:rPr>
        <w:t>.</w:t>
      </w:r>
      <w:r>
        <w:rPr>
          <w:rFonts w:hint="default"/>
          <w:sz w:val="18"/>
          <w:szCs w:val="18"/>
          <w:lang w:eastAsia="zh-Hans"/>
        </w:rPr>
        <w:t>47</w:t>
      </w:r>
      <w:r>
        <w:rPr>
          <w:rFonts w:hint="eastAsia"/>
          <w:sz w:val="18"/>
          <w:szCs w:val="18"/>
        </w:rPr>
        <w:t>（元），产品到期时，客户获得的实际收益相当于达到年化收益率水平为：11</w:t>
      </w:r>
      <w:r>
        <w:rPr>
          <w:rFonts w:hint="default"/>
          <w:sz w:val="18"/>
          <w:szCs w:val="18"/>
        </w:rPr>
        <w:t>342</w:t>
      </w:r>
      <w:r>
        <w:rPr>
          <w:rFonts w:hint="eastAsia"/>
          <w:sz w:val="18"/>
          <w:szCs w:val="18"/>
          <w:lang w:val="en-US" w:eastAsia="zh-Hans"/>
        </w:rPr>
        <w:t>.</w:t>
      </w:r>
      <w:r>
        <w:rPr>
          <w:rFonts w:hint="default"/>
          <w:sz w:val="18"/>
          <w:szCs w:val="18"/>
          <w:lang w:eastAsia="zh-Hans"/>
        </w:rPr>
        <w:t>47</w:t>
      </w:r>
      <w:r>
        <w:rPr>
          <w:rFonts w:hint="eastAsia"/>
          <w:sz w:val="18"/>
          <w:szCs w:val="18"/>
        </w:rPr>
        <w:t>/1,000,000.00×365/120=3.</w:t>
      </w:r>
      <w:r>
        <w:rPr>
          <w:rFonts w:hint="default"/>
          <w:sz w:val="18"/>
          <w:szCs w:val="18"/>
        </w:rPr>
        <w:t>45</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120天。假设产品业绩比较基准为3.</w:t>
      </w:r>
      <w:r>
        <w:rPr>
          <w:rFonts w:hint="default"/>
          <w:sz w:val="18"/>
          <w:szCs w:val="18"/>
        </w:rPr>
        <w:t>4</w:t>
      </w:r>
      <w:r>
        <w:rPr>
          <w:rFonts w:hint="eastAsia"/>
          <w:sz w:val="18"/>
          <w:szCs w:val="18"/>
        </w:rPr>
        <w:t>%。到期时扣除托管费、销售服务费、固定管理费及其他费用（如有）后，如产品净值为1.01，此时，(1.01/1.00-1)×365/120=3.04%&lt;3.</w:t>
      </w:r>
      <w:r>
        <w:rPr>
          <w:rFonts w:hint="default"/>
          <w:sz w:val="18"/>
          <w:szCs w:val="18"/>
        </w:rPr>
        <w:t>4</w:t>
      </w:r>
      <w:r>
        <w:rPr>
          <w:rFonts w:hint="eastAsia"/>
          <w:sz w:val="18"/>
          <w:szCs w:val="18"/>
        </w:rPr>
        <w:t>%，即投资收益未达到业绩比较基准，则投资管理人不收取浮动管理费，客户最终收益为：1,000,000.00×(1.01-1.00）=10000（元）。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w:t>
      </w:r>
      <w:r>
        <w:rPr>
          <w:rFonts w:hint="default"/>
          <w:sz w:val="18"/>
          <w:szCs w:val="18"/>
        </w:rPr>
        <w:t>4</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23018</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DOLZHEoqfoJxXhsEPehNrCzzb4=" w:salt="pEfY0C2IxLrz1I4oqQ3txg=="/>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BB029F"/>
    <w:rsid w:val="1FF86756"/>
    <w:rsid w:val="21716EFD"/>
    <w:rsid w:val="228F020A"/>
    <w:rsid w:val="243D7238"/>
    <w:rsid w:val="25385D7F"/>
    <w:rsid w:val="25D455A1"/>
    <w:rsid w:val="274A7645"/>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F7FBB3E5"/>
    <w:rsid w:val="FF7E09BD"/>
    <w:rsid w:val="FFDBE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Plain Text"/>
    <w:basedOn w:val="1"/>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7">
    <w:name w:val="Normal (Web)"/>
    <w:basedOn w:val="1"/>
    <w:unhideWhenUsed/>
    <w:qFormat/>
    <w:uiPriority w:val="99"/>
    <w:rPr>
      <w:sz w:val="24"/>
    </w:rPr>
  </w:style>
  <w:style w:type="paragraph" w:styleId="8">
    <w:name w:val="annotation subject"/>
    <w:basedOn w:val="2"/>
    <w:next w:val="2"/>
    <w:link w:val="19"/>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4"/>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6"/>
    <w:semiHidden/>
    <w:qFormat/>
    <w:uiPriority w:val="99"/>
    <w:rPr>
      <w:sz w:val="18"/>
      <w:szCs w:val="18"/>
    </w:rPr>
  </w:style>
  <w:style w:type="character" w:customStyle="1" w:styleId="18">
    <w:name w:val="页脚 字符"/>
    <w:link w:val="5"/>
    <w:qFormat/>
    <w:uiPriority w:val="99"/>
    <w:rPr>
      <w:sz w:val="18"/>
      <w:szCs w:val="18"/>
    </w:rPr>
  </w:style>
  <w:style w:type="character" w:customStyle="1" w:styleId="19">
    <w:name w:val="批注主题 字符"/>
    <w:link w:val="8"/>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2022-01-18T09:29:00Z</dcterms:created>
  <dc:creator>陈浩01</dc:creator>
  <cp:lastModifiedBy>应心茹</cp:lastModifiedBy>
  <cp:lastPrinted>2016-09-03T15:01:00Z</cp:lastPrinted>
  <dcterms:modified xsi:type="dcterms:W3CDTF">2023-06-09T07:39:38Z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FFD350B5F327EE39B3253D64A18947E5_42</vt:lpwstr>
  </property>
</Properties>
</file>