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第29期29天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29</w:t>
            </w:r>
            <w:r>
              <w:rPr>
                <w:rFonts w:hint="eastAsia" w:ascii="宋体" w:hAnsi="宋体" w:eastAsia="宋体" w:cs="宋体"/>
                <w:color w:val="000000"/>
                <w:kern w:val="0"/>
                <w:sz w:val="18"/>
                <w:szCs w:val="18"/>
                <w:lang w:val="en-US" w:eastAsia="zh-CN" w:bidi="ar-SA"/>
              </w:rPr>
              <w:t>期29天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2023年6月15日至2023年6月20日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2023年7月13日</w:t>
            </w:r>
            <w:r>
              <w:rPr>
                <w:rFonts w:hint="eastAsia" w:ascii="宋体" w:hAnsi="宋体" w:eastAsia="宋体" w:cs="Times New Roman"/>
                <w:color w:val="000000"/>
                <w:kern w:val="0"/>
                <w:sz w:val="18"/>
                <w:szCs w:val="18"/>
                <w:u w:val="single"/>
                <w:lang w:val="en-US" w:eastAsia="zh-Hans" w:bidi="ar-SA"/>
              </w:rPr>
              <w:t>至2023年7月19日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2023年7月20日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“金鹿理财-普惠月享”1号开放式净值型银行理财计划风险揭示书》、《温州银行“金鹿理财-普惠月享”1号开放式净值型银行理财计划产品说明书》、《温州银行“金鹿理财-普惠月享”1号开放式净值型（第</w:t>
            </w:r>
            <w:r>
              <w:rPr>
                <w:rFonts w:hint="eastAsia" w:ascii="宋体" w:hAnsi="宋体" w:eastAsia="宋体"/>
                <w:color w:val="000000"/>
                <w:sz w:val="18"/>
                <w:szCs w:val="20"/>
                <w:lang w:val="en-US" w:eastAsia="zh-Hans"/>
              </w:rPr>
              <w:t>29</w:t>
            </w:r>
            <w:r>
              <w:rPr>
                <w:rFonts w:hint="eastAsia" w:ascii="宋体" w:hAnsi="宋体" w:eastAsia="宋体"/>
                <w:color w:val="000000"/>
                <w:sz w:val="18"/>
                <w:szCs w:val="20"/>
              </w:rPr>
              <w:t>期29天）银行理财计划开放认购（申购）申请书》和《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Mi6vFMCeKaHNCvpYzzyAI6XywU=" w:salt="ewKfuvss5P84eBiAsNwlW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7C76B69"/>
    <w:rsid w:val="3BEF0754"/>
    <w:rsid w:val="511E88BC"/>
    <w:rsid w:val="7F7EC3B3"/>
    <w:rsid w:val="7FF33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2023-06-09T07:33:30Z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