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2023年6月14日至2023年6月20日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2023年12月13日</w:t>
            </w:r>
            <w:r>
              <w:rPr>
                <w:rFonts w:hint="eastAsia" w:ascii="宋体" w:hAnsi="宋体" w:eastAsia="宋体" w:cs="Times New Roman"/>
                <w:color w:val="000000"/>
                <w:kern w:val="0"/>
                <w:sz w:val="18"/>
                <w:szCs w:val="18"/>
                <w:u w:val="single"/>
                <w:lang w:val="en-US" w:eastAsia="zh-Hans" w:bidi="ar-SA"/>
              </w:rPr>
              <w:t>至2023年12月19日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“金鹿理财-温盈”19003号开放式净值型银行理财计划风险揭示书》、《温州银行“金鹿理财-温盈”19003号开放式净值型银行理财计划产品说明书》、《温州银行“金鹿理财-温盈”19003号开放式净值型（第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Ewv75GNzv5kjpr+nx/+P8673xc=" w:salt="lJQiBJeeX1pYUasdiQ3k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F456CA3"/>
    <w:rsid w:val="3BEF0754"/>
    <w:rsid w:val="511E88BC"/>
    <w:rsid w:val="7F7EC3B3"/>
    <w:rsid w:val="BBDDF786"/>
    <w:rsid w:val="E7EC35E9"/>
    <w:rsid w:val="EAFE2858"/>
    <w:rsid w:val="EEED5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2023-06-09T07:33:30Z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