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温盈”20052号开放式净值型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第5期280天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20052号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YJ2052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5</w:t>
            </w:r>
            <w:r>
              <w:rPr>
                <w:rFonts w:hint="eastAsia" w:ascii="宋体" w:hAnsi="宋体" w:eastAsia="宋体" w:cs="宋体"/>
                <w:color w:val="000000"/>
                <w:kern w:val="0"/>
                <w:sz w:val="18"/>
                <w:szCs w:val="18"/>
                <w:lang w:val="en-US" w:eastAsia="zh-CN" w:bidi="ar-SA"/>
              </w:rPr>
              <w:t>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3.1%-3.8%</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2023年6月14日至2023年6月20日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2023年6月21日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2024年3月20日</w:t>
            </w:r>
            <w:r>
              <w:rPr>
                <w:rFonts w:hint="eastAsia" w:ascii="宋体" w:hAnsi="宋体" w:eastAsia="宋体" w:cs="Times New Roman"/>
                <w:color w:val="000000"/>
                <w:kern w:val="0"/>
                <w:sz w:val="18"/>
                <w:szCs w:val="18"/>
                <w:u w:val="single"/>
                <w:lang w:val="en-US" w:eastAsia="zh-Hans" w:bidi="ar-SA"/>
              </w:rPr>
              <w:t>至2024年3月26日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2024年3月27日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“金鹿理财-温盈”20052号开放式净值型银行理财计划风险揭示书》、《温州银行“金鹿理财-温盈”20052号开放式净值型银行理财计划产品说明书》、《温州银行“金鹿理财-温盈”20052号开放式净值型（第</w:t>
            </w:r>
            <w:r>
              <w:rPr>
                <w:rFonts w:hint="eastAsia" w:ascii="宋体" w:hAnsi="宋体" w:eastAsia="宋体"/>
                <w:color w:val="000000"/>
                <w:sz w:val="18"/>
                <w:szCs w:val="20"/>
                <w:lang w:val="en-US" w:eastAsia="zh-Hans"/>
              </w:rPr>
              <w:t>5</w:t>
            </w:r>
            <w:r>
              <w:rPr>
                <w:rFonts w:hint="eastAsia" w:ascii="宋体" w:hAnsi="宋体" w:eastAsia="宋体"/>
                <w:color w:val="000000"/>
                <w:sz w:val="18"/>
                <w:szCs w:val="20"/>
              </w:rPr>
              <w:t>期280天）银行理财计划开放认购（申购）申请书》和《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lwkznyGuRHF4Y7KSlB9GKD6IHa0=" w:salt="S/74ODSK5gRCkiYO0wi6l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48795F03"/>
    <w:rsid w:val="511E88BC"/>
    <w:rsid w:val="7F7EC3B3"/>
    <w:rsid w:val="BBDDF786"/>
    <w:rsid w:val="E7EC35E9"/>
    <w:rsid w:val="EAFE2858"/>
    <w:rsid w:val="FEF781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4</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2023-06-09T07:33:31Z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