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普惠颐养”21022号开放式净值型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第2期733天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21022号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4.05%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2023年6月9日至2023年6月15日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2023年6月16日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733天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2024年6月19日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2025年6月11日</w:t>
            </w:r>
            <w:r>
              <w:rPr>
                <w:rFonts w:hint="eastAsia" w:ascii="宋体" w:hAnsi="宋体" w:eastAsia="宋体" w:cs="Times New Roman"/>
                <w:color w:val="000000"/>
                <w:kern w:val="0"/>
                <w:sz w:val="18"/>
                <w:szCs w:val="18"/>
                <w:u w:val="single"/>
                <w:lang w:val="en-US" w:eastAsia="zh-Hans" w:bidi="ar-SA"/>
              </w:rPr>
              <w:t>至2025年6月17日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2025年6月18日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21022号开放式净值型银行理财计划风险揭示书》、《温州银行“金鹿理财-普惠颐养”21022号开放式净值型银行理财计划产品说明书》、《温州银行“金鹿理财-普惠颐养”21022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期733天）银行理财计划开放认购（申购）申请书》和《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f1Ixd2fG1cJqTwKx3C7U2kHodGY=" w:salt="tb0xdB99DFonGGPYAKBo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FBB536E"/>
    <w:rsid w:val="7F7EC3B3"/>
    <w:rsid w:val="BBDDF786"/>
    <w:rsid w:val="BDEFCC0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2023-06-02T01:04:51Z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