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温盈” 20053号开放式净值型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第4期371天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 xml:space="preserve"> 20053号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YJ2053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4</w:t>
            </w:r>
            <w:r>
              <w:rPr>
                <w:rFonts w:hint="eastAsia" w:ascii="宋体" w:hAnsi="宋体" w:eastAsia="宋体" w:cs="宋体"/>
                <w:color w:val="000000"/>
                <w:kern w:val="0"/>
                <w:sz w:val="18"/>
                <w:szCs w:val="18"/>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3.2%-3.9%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2023年6月7日至2023年6月13日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2024年6月12日</w:t>
            </w:r>
            <w:r>
              <w:rPr>
                <w:rFonts w:hint="eastAsia" w:ascii="宋体" w:hAnsi="宋体" w:eastAsia="宋体"/>
                <w:color w:val="000000"/>
                <w:kern w:val="0"/>
                <w:sz w:val="18"/>
                <w:szCs w:val="18"/>
                <w:u w:val="single"/>
                <w:lang w:eastAsia="zh-Hans"/>
              </w:rPr>
              <w:t>至2024年6月18日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“金鹿理财-温盈”20053号开放式净值型银行理财计划风险揭示书》、《温州银行“金鹿理财-温盈”20053号开放式净值型银行理财计划产品说明书》、《温州银行“金鹿理财-温盈”20053号开放式净值型（第</w:t>
            </w:r>
            <w:r>
              <w:rPr>
                <w:rFonts w:hint="eastAsia" w:ascii="宋体" w:hAnsi="宋体" w:eastAsia="宋体"/>
                <w:color w:val="000000"/>
                <w:sz w:val="18"/>
                <w:szCs w:val="20"/>
                <w:lang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JRbz9qr3ezPWbZFMxrkmFbVw60=" w:salt="uze2nhWtAMUhKjGKXhcfV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8F27AE"/>
    <w:rsid w:val="009B5133"/>
    <w:rsid w:val="009D3FB3"/>
    <w:rsid w:val="009E0B20"/>
    <w:rsid w:val="00BB77D3"/>
    <w:rsid w:val="00BF5A7D"/>
    <w:rsid w:val="00C00D5A"/>
    <w:rsid w:val="00E36316"/>
    <w:rsid w:val="00E41ADC"/>
    <w:rsid w:val="00E850D0"/>
    <w:rsid w:val="3BEF0754"/>
    <w:rsid w:val="511E88BC"/>
    <w:rsid w:val="7BEC4A43"/>
    <w:rsid w:val="7F7EC3B3"/>
    <w:rsid w:val="BBDDF786"/>
    <w:rsid w:val="CBBFB61A"/>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161</Words>
  <Characters>923</Characters>
  <Lines>7</Lines>
  <Paragraphs>2</Paragraphs>
  <TotalTime>3</TotalTime>
  <ScaleCrop>false</ScaleCrop>
  <LinksUpToDate>false</LinksUpToDate>
  <CharactersWithSpaces>1082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2023-06-02T01:04:53Z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