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w:t>
      </w:r>
      <w:bookmarkStart w:id="0" w:name="_GoBack"/>
      <w:bookmarkEnd w:id="0"/>
      <w:r>
        <w:rPr>
          <w:rFonts w:hint="eastAsia" w:ascii="宋体" w:hAnsi="宋体"/>
          <w:szCs w:val="21"/>
        </w:rPr>
        <w:t>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19017号开放式净值型银行理财计划产品说明书》、《温州银行“金鹿理财-温盈”19017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2019年8月7日至2019年8月13日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本理财计划成立日为2019年8月14日。温州银行有权根据实际募集情况选择产品提前成立，若温州银行采取以上措施，温州银行将就产品相应要素的调整事宜于提前成立日前的一个工作日在温州银行网站予以公告。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：本理财计划成立日为2019年8月14日，从成立日起，每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本产品预计到期终止日为2029年8月14日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19017号开放式净值型银行理财计划风险揭示书》、《温州银行“金鹿理财”银行理财计划合约》、《温州银行“金鹿理财-温盈”19017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N6tUXWB98xCX7M1zDPbDvYwVoc=" w:salt="mkGFb+OYpSPA4Kp+v7k6b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D1E54D2"/>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16</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2023-06-02T01:36:34Z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