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20053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20053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“金鹿理财-温盈”20053号开放式净值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20053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20053号开放式净值型银行理财计划产品说明书》、《温州银行“金鹿理财-温盈”20053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20053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温盈”20053号开放式净值型银行理财计划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20053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C1092220000247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2020年5月20日至2020年5月26日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首个投资运作周期的业绩比较基准为4.4%（年化）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本理财计划成立日为2020年5月27日。温州银行有权根据实际募集情况选择产品提前成立，若温州银行采取以上措施，温州银行将就产品相应要素的调整事宜于提前成立日前的一个工作日在温州银行网站予以公告。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《温州银行“金鹿理财-温盈”20053号开放式净值型（第i期）银行理财计划开放认购（申购）申请书》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《温州银行“金鹿理财-温盈”20053号开放式净值型（第i期）银行理财计划开放认购（申购）申请书》。投资运作周期到期时，该周期内的资金收益情况根据所投资资产组合的实际运作情况确定。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：本理财计划成立日为2020年5月27日，从成立日起，每</w:t>
      </w:r>
      <w:r>
        <w:rPr>
          <w:rFonts w:ascii="宋体" w:hAnsi="宋体"/>
          <w:sz w:val="18"/>
        </w:rPr>
        <w:t>【</w:t>
      </w:r>
      <w:r>
        <w:rPr>
          <w:rFonts w:hint="eastAsia" w:ascii="宋体" w:hAnsi="宋体"/>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本产品预计到期终止日为2030年5月27日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20053号开放式净值型银行理财计划风险揭示书》、《温州银行“金鹿理财”银行理财计划合约》、《温州银行“金鹿理财-温盈”20053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dit="readOnly" w:enforcement="1" w:cryptProviderType="rsaFull" w:cryptAlgorithmClass="hash" w:cryptAlgorithmType="typeAny" w:cryptAlgorithmSid="4" w:cryptSpinCount="0" w:hash="7dqsuPMATAbRES23pkSD4Ew5xSQ=" w:salt="0g91dmKCE2OVgvMH6NIr0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1EE409D"/>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2023-06-02T01:38:56Z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