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2023年6月20日至2023年6月26日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2023年9月19日</w:t>
            </w:r>
            <w:r>
              <w:rPr>
                <w:rFonts w:hint="eastAsia" w:ascii="宋体" w:hAnsi="宋体" w:eastAsia="宋体" w:cs="Times New Roman"/>
                <w:color w:val="000000"/>
                <w:kern w:val="0"/>
                <w:sz w:val="18"/>
                <w:szCs w:val="18"/>
                <w:u w:val="single"/>
                <w:lang w:val="en-US" w:eastAsia="zh-Hans" w:bidi="ar-SA"/>
              </w:rPr>
              <w:t>至2023年9月25日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“金鹿理财-普惠季享”5号开放式净值型银行理财计划风险揭示书》、《温州银行“金鹿理财-普惠季享”5号开放式净值型银行理财计划产品说明书》、《温州银行“金鹿理财-普惠季享”5号开放式净值型（第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xnICyGBGgztmNzUIVsT5EjHz30=" w:salt="uvVz+wO2EFTwKit5iaGrz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B3E4A05"/>
    <w:rsid w:val="7F7EC3B3"/>
    <w:rsid w:val="BBDDF786"/>
    <w:rsid w:val="E7EC35E9"/>
    <w:rsid w:val="EAFE2858"/>
    <w:rsid w:val="FCF66D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2023-06-19T01:47:54Z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