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普惠颐养”21024号开放式净值型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2023年6月23日至2023年6月29日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2023年6月30日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2024年7月3日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2025年6月25日</w:t>
            </w:r>
            <w:r>
              <w:rPr>
                <w:rFonts w:hint="eastAsia" w:ascii="宋体" w:hAnsi="宋体" w:eastAsia="宋体" w:cs="Times New Roman"/>
                <w:color w:val="000000"/>
                <w:kern w:val="0"/>
                <w:sz w:val="18"/>
                <w:szCs w:val="18"/>
                <w:u w:val="single"/>
                <w:lang w:val="en-US" w:eastAsia="zh-Hans" w:bidi="ar-SA"/>
              </w:rPr>
              <w:t>至2025年7月1日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21024号开放式净值型银行理财计划风险揭示书》、《温州银行“金鹿理财-普惠颐养”21024号开放式净值型银行理财计划产品说明书》、《温州银行“金鹿理财-普惠颐养”21024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aXW+/YDOgHYTxe5dY1baUkHpYE=" w:salt="dpiOL/oPtSq2IPpqzJTiI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AFC82D0"/>
    <w:rsid w:val="3BEF0754"/>
    <w:rsid w:val="511E88BC"/>
    <w:rsid w:val="532F3015"/>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2023-06-19T01:47:53Z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