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23007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23007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w:t>
      </w:r>
      <w:r>
        <w:rPr>
          <w:szCs w:val="21"/>
          <w:u w:val="single"/>
        </w:rPr>
        <w:t>12</w:t>
      </w:r>
      <w:r>
        <w:rPr>
          <w:rFonts w:hint="eastAsia"/>
          <w:szCs w:val="21"/>
          <w:u w:val="single"/>
        </w:rPr>
        <w:t>0</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23007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23007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5"/>
        <w:adjustRightInd w:val="0"/>
        <w:snapToGrid w:val="0"/>
        <w:spacing w:before="0" w:beforeAutospacing="0" w:after="0" w:afterAutospacing="0" w:line="360" w:lineRule="auto"/>
        <w:jc w:val="center"/>
        <w:rPr>
          <w:rFonts w:hint="eastAsia" w:ascii="黑体" w:eastAsia="黑体"/>
          <w:bCs/>
          <w:sz w:val="30"/>
          <w:szCs w:val="30"/>
        </w:rPr>
      </w:pP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23007</w:t>
      </w:r>
      <w:r>
        <w:rPr>
          <w:rFonts w:hint="eastAsia" w:ascii="黑体" w:eastAsia="黑体"/>
          <w:bCs/>
          <w:sz w:val="30"/>
          <w:szCs w:val="30"/>
        </w:rPr>
        <w:t>号（共同富裕特别款）</w:t>
      </w: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bookmarkStart w:id="0" w:name="_GoBack"/>
      <w:r>
        <w:rPr>
          <w:rFonts w:hint="eastAsia"/>
          <w:sz w:val="18"/>
          <w:szCs w:val="18"/>
        </w:rPr>
        <w:t>本说明书中，除非另有明确说明，否则下列词语或简称具有如下含义：</w:t>
      </w:r>
    </w:p>
    <w:bookmarkEnd w:id="0"/>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23007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20955" r="0" b="0"/>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23007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JX2307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C1092223000048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u w:val="single"/>
              </w:rPr>
              <w:t>12</w:t>
            </w:r>
            <w:r>
              <w:rPr>
                <w:rFonts w:hint="eastAsia"/>
                <w:sz w:val="18"/>
                <w:szCs w:val="18"/>
                <w:u w:val="single"/>
              </w:rPr>
              <w:t>0</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2023年6月29日</w:t>
            </w:r>
            <w:r>
              <w:rPr>
                <w:rFonts w:hint="eastAsia"/>
                <w:sz w:val="18"/>
                <w:u w:val="single"/>
              </w:rPr>
              <w:t>至</w:t>
            </w:r>
            <w:r>
              <w:rPr>
                <w:rFonts w:hint="eastAsia"/>
                <w:color w:val="000000"/>
                <w:sz w:val="18"/>
                <w:u w:val="single"/>
              </w:rPr>
              <w:t>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rPr>
              <w:t>2023年7月6日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rPr>
              <w:t>2023年11月3日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sz w:val="18"/>
                <w:szCs w:val="18"/>
              </w:rPr>
              <w:t>3.</w:t>
            </w:r>
            <w:r>
              <w:rPr>
                <w:rFonts w:hint="eastAsia"/>
                <w:sz w:val="18"/>
                <w:szCs w:val="18"/>
              </w:rPr>
              <w:t>3</w:t>
            </w:r>
            <w:r>
              <w:rPr>
                <w:sz w:val="18"/>
                <w:szCs w:val="18"/>
              </w:rPr>
              <w:t>5%</w:t>
            </w:r>
            <w:r>
              <w:rPr>
                <w:rFonts w:hint="eastAsia"/>
                <w:sz w:val="18"/>
                <w:szCs w:val="18"/>
              </w:rPr>
              <w:t>（年化）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rPr>
        <w:t>3</w:t>
      </w:r>
      <w:r>
        <w:rPr>
          <w:sz w:val="18"/>
          <w:szCs w:val="18"/>
        </w:rPr>
        <w:t>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rPr>
        <w:t>2023年6月29日</w:t>
      </w:r>
      <w:r>
        <w:rPr>
          <w:rFonts w:hint="eastAsia"/>
          <w:sz w:val="18"/>
        </w:rPr>
        <w:t>至</w:t>
      </w:r>
      <w:r>
        <w:rPr>
          <w:rFonts w:hint="eastAsia"/>
          <w:color w:val="000000"/>
          <w:sz w:val="18"/>
        </w:rPr>
        <w:t>2023年7月5日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sz w:val="18"/>
          <w:szCs w:val="18"/>
        </w:rPr>
        <w:t>本产品预计到期终止日为</w:t>
      </w:r>
      <w:r>
        <w:rPr>
          <w:rFonts w:hint="eastAsia"/>
          <w:color w:val="000000"/>
          <w:sz w:val="18"/>
          <w:szCs w:val="18"/>
        </w:rPr>
        <w:t>2023年11月3日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以某客户投资100万元为例，购买时产品净值为1.00元，折算份额为1,000,000.00份,理财期限为120天。假设产品业绩比较基准为3.3</w:t>
      </w:r>
      <w:r>
        <w:rPr>
          <w:sz w:val="18"/>
          <w:szCs w:val="18"/>
        </w:rPr>
        <w:t>5</w:t>
      </w:r>
      <w:r>
        <w:rPr>
          <w:rFonts w:hint="eastAsia"/>
          <w:sz w:val="18"/>
          <w:szCs w:val="18"/>
        </w:rPr>
        <w:t>%。到期时扣除托管费、销售服务费、固定管理费及其他费用（如有）后，如产品净值为1.012，此时， (1.012/1.00-1)×365/120=3.65%&gt;3.3</w:t>
      </w:r>
      <w:r>
        <w:rPr>
          <w:sz w:val="18"/>
          <w:szCs w:val="18"/>
        </w:rPr>
        <w:t>5</w:t>
      </w:r>
      <w:r>
        <w:rPr>
          <w:rFonts w:hint="eastAsia"/>
          <w:sz w:val="18"/>
          <w:szCs w:val="18"/>
        </w:rPr>
        <w:t>%，即投资收益超越业绩比较基准，则投资管理人对超过业绩比较基准部分收益收取浮动管理费，浮动管理费为：1,000,000.00×[1.012-1.00×(1+3.3</w:t>
      </w:r>
      <w:r>
        <w:rPr>
          <w:sz w:val="18"/>
          <w:szCs w:val="18"/>
        </w:rPr>
        <w:t>5</w:t>
      </w:r>
      <w:r>
        <w:rPr>
          <w:rFonts w:hint="eastAsia"/>
          <w:sz w:val="18"/>
          <w:szCs w:val="18"/>
        </w:rPr>
        <w:t>%×120/365)]×80%=789.04（元）。扣除浮动管理费后，客户最终收益为：1,000,000.00×（1.012-1.00）-789.04=11210.96（元），产品到期时，客户获得的实际收益相当于达到年化收益率水平为：11210.96/1,000,000.00×365/120=3.41%。</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120天。假设产品业绩比较基准为3.3</w:t>
      </w:r>
      <w:r>
        <w:rPr>
          <w:sz w:val="18"/>
          <w:szCs w:val="18"/>
        </w:rPr>
        <w:t>5</w:t>
      </w:r>
      <w:r>
        <w:rPr>
          <w:rFonts w:hint="eastAsia"/>
          <w:sz w:val="18"/>
          <w:szCs w:val="18"/>
        </w:rPr>
        <w:t>%。到期时扣除托管费、销售服务费、固定管理费及其他费用（如有）后，如产品净值为1.01，此时，(1.01/1.00-1)×365/120=3.</w:t>
      </w:r>
      <w:r>
        <w:rPr>
          <w:sz w:val="18"/>
          <w:szCs w:val="18"/>
        </w:rPr>
        <w:t>04</w:t>
      </w:r>
      <w:r>
        <w:rPr>
          <w:rFonts w:hint="eastAsia"/>
          <w:sz w:val="18"/>
          <w:szCs w:val="18"/>
        </w:rPr>
        <w:t>%&lt;3.3</w:t>
      </w:r>
      <w:r>
        <w:rPr>
          <w:sz w:val="18"/>
          <w:szCs w:val="18"/>
        </w:rPr>
        <w:t>5</w:t>
      </w:r>
      <w:r>
        <w:rPr>
          <w:rFonts w:hint="eastAsia"/>
          <w:sz w:val="18"/>
          <w:szCs w:val="18"/>
        </w:rPr>
        <w:t>%，即投资收益未达到业绩比较基准，则投资管理人不收取浮动管理费，客户最终收益为：1,000,000.00×(1.01-1.00）=1</w:t>
      </w:r>
      <w:r>
        <w:rPr>
          <w:sz w:val="18"/>
          <w:szCs w:val="18"/>
        </w:rPr>
        <w:t>0</w:t>
      </w:r>
      <w:r>
        <w:rPr>
          <w:rFonts w:hint="eastAsia"/>
          <w:sz w:val="18"/>
          <w:szCs w:val="18"/>
        </w:rPr>
        <w:t>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以某客户投资100万元为例，购买时产品净值为1.00元，折算份额为1,000,000.00份，理财期限为120天。假设产品业绩比较基准为3</w:t>
      </w:r>
      <w:r>
        <w:rPr>
          <w:sz w:val="18"/>
          <w:szCs w:val="18"/>
        </w:rPr>
        <w:t>.</w:t>
      </w:r>
      <w:r>
        <w:rPr>
          <w:rFonts w:hint="eastAsia"/>
          <w:sz w:val="18"/>
          <w:szCs w:val="18"/>
        </w:rPr>
        <w:t>3</w:t>
      </w:r>
      <w:r>
        <w:rPr>
          <w:sz w:val="18"/>
          <w:szCs w:val="18"/>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23007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dit="readOnly" w:enforcement="1" w:cryptProviderType="rsaFull" w:cryptAlgorithmClass="hash" w:cryptAlgorithmType="typeAny" w:cryptAlgorithmSid="4" w:cryptSpinCount="0" w:hash="asXihGSxDOQLM3ZuCTOqfCqJ4p0=" w:salt="AgvkLl897yel8nS6MFvB+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306F8"/>
    <w:rsid w:val="00040175"/>
    <w:rsid w:val="0008627F"/>
    <w:rsid w:val="0018605A"/>
    <w:rsid w:val="00193A6B"/>
    <w:rsid w:val="001A0A54"/>
    <w:rsid w:val="001D7791"/>
    <w:rsid w:val="0021703D"/>
    <w:rsid w:val="00232935"/>
    <w:rsid w:val="0026075F"/>
    <w:rsid w:val="002C0BA1"/>
    <w:rsid w:val="0035671B"/>
    <w:rsid w:val="00385222"/>
    <w:rsid w:val="003F5708"/>
    <w:rsid w:val="004813F0"/>
    <w:rsid w:val="004978A0"/>
    <w:rsid w:val="0055724A"/>
    <w:rsid w:val="005B73A6"/>
    <w:rsid w:val="00617ABD"/>
    <w:rsid w:val="00633DBA"/>
    <w:rsid w:val="00693A8D"/>
    <w:rsid w:val="00766CF2"/>
    <w:rsid w:val="0078088F"/>
    <w:rsid w:val="007828DA"/>
    <w:rsid w:val="007A7805"/>
    <w:rsid w:val="007D3753"/>
    <w:rsid w:val="00832709"/>
    <w:rsid w:val="00866A5E"/>
    <w:rsid w:val="008D04F3"/>
    <w:rsid w:val="009115E2"/>
    <w:rsid w:val="009E3776"/>
    <w:rsid w:val="00B032AE"/>
    <w:rsid w:val="00B92FF5"/>
    <w:rsid w:val="00BB1978"/>
    <w:rsid w:val="00BB27A2"/>
    <w:rsid w:val="00C050F3"/>
    <w:rsid w:val="00C34FBE"/>
    <w:rsid w:val="00CE5B75"/>
    <w:rsid w:val="00D161AF"/>
    <w:rsid w:val="00D83E12"/>
    <w:rsid w:val="00D93DE5"/>
    <w:rsid w:val="00DA4425"/>
    <w:rsid w:val="00E0326C"/>
    <w:rsid w:val="00E2610C"/>
    <w:rsid w:val="00E303C0"/>
    <w:rsid w:val="00E31C39"/>
    <w:rsid w:val="00E320AD"/>
    <w:rsid w:val="00E373AB"/>
    <w:rsid w:val="00E9738F"/>
    <w:rsid w:val="00F33115"/>
    <w:rsid w:val="00F46191"/>
    <w:rsid w:val="00F81FE4"/>
    <w:rsid w:val="00F86C63"/>
    <w:rsid w:val="011D0799"/>
    <w:rsid w:val="018C5462"/>
    <w:rsid w:val="01B25DFE"/>
    <w:rsid w:val="020D5912"/>
    <w:rsid w:val="03C64591"/>
    <w:rsid w:val="05256D34"/>
    <w:rsid w:val="06F87141"/>
    <w:rsid w:val="07BB40C7"/>
    <w:rsid w:val="08EF38EC"/>
    <w:rsid w:val="09446D7E"/>
    <w:rsid w:val="0A1675AA"/>
    <w:rsid w:val="0AC90772"/>
    <w:rsid w:val="0EAE5E5E"/>
    <w:rsid w:val="0F4B6711"/>
    <w:rsid w:val="104F44D5"/>
    <w:rsid w:val="10B17669"/>
    <w:rsid w:val="14237D99"/>
    <w:rsid w:val="161D1528"/>
    <w:rsid w:val="19E25A8D"/>
    <w:rsid w:val="1A5F6148"/>
    <w:rsid w:val="1EBD7528"/>
    <w:rsid w:val="20DB6550"/>
    <w:rsid w:val="21E136F4"/>
    <w:rsid w:val="22A04815"/>
    <w:rsid w:val="23535C37"/>
    <w:rsid w:val="26531D8B"/>
    <w:rsid w:val="275A751E"/>
    <w:rsid w:val="27BD2B01"/>
    <w:rsid w:val="28076A45"/>
    <w:rsid w:val="2ACF0E36"/>
    <w:rsid w:val="2D1D2B95"/>
    <w:rsid w:val="2F7E1AF7"/>
    <w:rsid w:val="2F862BC5"/>
    <w:rsid w:val="313A7139"/>
    <w:rsid w:val="31AC46DA"/>
    <w:rsid w:val="32683389"/>
    <w:rsid w:val="3318043A"/>
    <w:rsid w:val="34F321CC"/>
    <w:rsid w:val="36C936FE"/>
    <w:rsid w:val="38FC2B02"/>
    <w:rsid w:val="39766FF2"/>
    <w:rsid w:val="3A9532FB"/>
    <w:rsid w:val="3BBF210A"/>
    <w:rsid w:val="3C5B2CDB"/>
    <w:rsid w:val="3D150741"/>
    <w:rsid w:val="3E2566A4"/>
    <w:rsid w:val="3F7E5351"/>
    <w:rsid w:val="4146226E"/>
    <w:rsid w:val="43712A5A"/>
    <w:rsid w:val="4409550D"/>
    <w:rsid w:val="462B298E"/>
    <w:rsid w:val="4769700F"/>
    <w:rsid w:val="4E9D337C"/>
    <w:rsid w:val="4EFE40C2"/>
    <w:rsid w:val="54133033"/>
    <w:rsid w:val="546F0E0A"/>
    <w:rsid w:val="56865A7D"/>
    <w:rsid w:val="56AB5155"/>
    <w:rsid w:val="57313966"/>
    <w:rsid w:val="58E34C34"/>
    <w:rsid w:val="5A6C6059"/>
    <w:rsid w:val="5D0B2C53"/>
    <w:rsid w:val="5DD76B10"/>
    <w:rsid w:val="5E014390"/>
    <w:rsid w:val="5E3633EC"/>
    <w:rsid w:val="5F4A6202"/>
    <w:rsid w:val="616E34C6"/>
    <w:rsid w:val="61E21802"/>
    <w:rsid w:val="623D1E92"/>
    <w:rsid w:val="62715C60"/>
    <w:rsid w:val="627B657A"/>
    <w:rsid w:val="63EB7180"/>
    <w:rsid w:val="64C0477E"/>
    <w:rsid w:val="661104BF"/>
    <w:rsid w:val="699C4EA7"/>
    <w:rsid w:val="6D15771F"/>
    <w:rsid w:val="718A5772"/>
    <w:rsid w:val="76592994"/>
    <w:rsid w:val="79632EC7"/>
    <w:rsid w:val="7AFF2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uiPriority w:val="99"/>
    <w:pPr>
      <w:jc w:val="left"/>
    </w:pPr>
  </w:style>
  <w:style w:type="paragraph" w:styleId="3">
    <w:name w:val="Plain Text"/>
    <w:basedOn w:val="1"/>
    <w:link w:val="12"/>
    <w:unhideWhenUsed/>
    <w:uiPriority w:val="99"/>
    <w:rPr>
      <w:rFonts w:ascii="宋体" w:hAnsi="Courier New"/>
      <w:kern w:val="0"/>
      <w:sz w:val="20"/>
      <w:szCs w:val="21"/>
    </w:rPr>
  </w:style>
  <w:style w:type="paragraph" w:styleId="4">
    <w:name w:val="Balloon Text"/>
    <w:basedOn w:val="1"/>
    <w:link w:val="13"/>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页眉 字符"/>
    <w:link w:val="6"/>
    <w:uiPriority w:val="99"/>
    <w:rPr>
      <w:kern w:val="2"/>
      <w:sz w:val="18"/>
      <w:szCs w:val="18"/>
    </w:rPr>
  </w:style>
  <w:style w:type="character" w:customStyle="1" w:styleId="11">
    <w:name w:val="批注文字 字符"/>
    <w:link w:val="2"/>
    <w:uiPriority w:val="99"/>
    <w:rPr>
      <w:rFonts w:ascii="Times New Roman" w:hAnsi="Times New Roman"/>
      <w:kern w:val="2"/>
      <w:sz w:val="21"/>
    </w:rPr>
  </w:style>
  <w:style w:type="character" w:customStyle="1" w:styleId="12">
    <w:name w:val="纯文本 字符"/>
    <w:link w:val="3"/>
    <w:uiPriority w:val="99"/>
    <w:rPr>
      <w:rFonts w:ascii="宋体" w:hAnsi="Courier New" w:eastAsia="宋体" w:cs="Courier New"/>
      <w:szCs w:val="21"/>
    </w:rPr>
  </w:style>
  <w:style w:type="character" w:customStyle="1" w:styleId="13">
    <w:name w:val="批注框文本 字符"/>
    <w:link w:val="4"/>
    <w:semiHidden/>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paragraph" w:customStyle="1" w:styleId="15">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1967</Words>
  <Characters>11213</Characters>
  <Lines>93</Lines>
  <Paragraphs>26</Paragraphs>
  <TotalTime>10</TotalTime>
  <ScaleCrop>false</ScaleCrop>
  <LinksUpToDate>false</LinksUpToDate>
  <CharactersWithSpaces>13154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2023-06-21T02:50:00Z</dcterms:created>
  <dc:creator>陈浩</dc:creator>
  <cp:lastModifiedBy>应心茹</cp:lastModifiedBy>
  <dcterms:modified xsi:type="dcterms:W3CDTF">2023-06-21T07:14:13Z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