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温盈”20059号开放式净值型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第4期371天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20059号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4</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3.2%-3.9%</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2023年6月28日至2023年7月4日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2024年7月3日</w:t>
            </w:r>
            <w:r>
              <w:rPr>
                <w:rFonts w:hint="eastAsia" w:ascii="宋体" w:hAnsi="宋体" w:eastAsia="宋体" w:cs="Times New Roman"/>
                <w:color w:val="000000"/>
                <w:kern w:val="0"/>
                <w:sz w:val="18"/>
                <w:szCs w:val="18"/>
                <w:u w:val="single"/>
                <w:lang w:val="en-US" w:eastAsia="zh-Hans" w:bidi="ar-SA"/>
              </w:rPr>
              <w:t>至2024年7月9日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2024年7月10日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“金鹿理财-温盈”20059号开放式净值型银行理财计划风险揭示书》、《温州银行“金鹿理财-温盈”20059号开放式净值型银行理财计划产品说明书》、《温州银行“金鹿理财-温盈”20059号开放式净值型（第</w:t>
            </w:r>
            <w:r>
              <w:rPr>
                <w:rFonts w:hint="eastAsia" w:ascii="宋体" w:hAnsi="宋体" w:eastAsia="宋体"/>
                <w:color w:val="000000"/>
                <w:sz w:val="18"/>
                <w:szCs w:val="20"/>
                <w:lang w:val="en-US" w:eastAsia="zh-Hans"/>
              </w:rPr>
              <w:t>4</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hDWVr4R/h7NB9JodXSX8jC8mOHg=" w:salt="Yzp+NMvYEKW/yoxi40Axa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3DA79578"/>
    <w:rsid w:val="511E88BC"/>
    <w:rsid w:val="75C23C6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2023-06-21T06:53:21Z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