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w:t>
      </w:r>
      <w:bookmarkStart w:id="0" w:name="_GoBack"/>
      <w:bookmarkEnd w:id="0"/>
      <w:r>
        <w:rPr>
          <w:rFonts w:hint="eastAsia" w:ascii="黑体" w:hAnsi="Times New Roman" w:eastAsia="黑体"/>
          <w:color w:val="000000"/>
          <w:sz w:val="30"/>
          <w:szCs w:val="30"/>
          <w:lang w:val="en-US" w:eastAsia="zh-Hans"/>
        </w:rPr>
        <w:t>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第29期28天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普惠月享3号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29</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2023年6月29日至2023年7月5日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2023年7月27日</w:t>
            </w:r>
            <w:r>
              <w:rPr>
                <w:rFonts w:hint="eastAsia" w:ascii="宋体" w:hAnsi="宋体" w:eastAsia="宋体" w:cs="Times New Roman"/>
                <w:color w:val="000000"/>
                <w:kern w:val="0"/>
                <w:sz w:val="18"/>
                <w:szCs w:val="18"/>
                <w:u w:val="single"/>
                <w:lang w:val="en-US" w:eastAsia="zh-Hans" w:bidi="ar-SA"/>
              </w:rPr>
              <w:t>至2023年8月2日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普惠月享3号开放式净值型银行理财计划风险揭示书》、《温州银行“金鹿理财-普惠月享”普惠月享3号开放式净值型银行理财计划产品说明书》、《温州银行“金鹿理财-普惠月享”普惠月享3号开放式净值型（第</w:t>
            </w:r>
            <w:r>
              <w:rPr>
                <w:rFonts w:hint="eastAsia" w:ascii="宋体" w:hAnsi="宋体" w:eastAsia="宋体"/>
                <w:color w:val="000000"/>
                <w:sz w:val="18"/>
                <w:szCs w:val="20"/>
                <w:lang w:val="en-US" w:eastAsia="zh-Hans"/>
              </w:rPr>
              <w:t>29</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J9bZ7WlodewaxPw5yN0sYdrCnw=" w:salt="bnGeIeihqE1byPBrPGsM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2D66EB5"/>
    <w:rsid w:val="130F12F3"/>
    <w:rsid w:val="3BEF0754"/>
    <w:rsid w:val="511E88BC"/>
    <w:rsid w:val="5763253C"/>
    <w:rsid w:val="7D7FF7F2"/>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2023-06-21T08:34:28Z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