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第9期93天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2023年7月4日至2023年7月10日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2023年10月9日</w:t>
            </w:r>
            <w:r>
              <w:rPr>
                <w:rFonts w:hint="eastAsia" w:ascii="宋体" w:hAnsi="宋体" w:eastAsia="宋体" w:cs="Times New Roman"/>
                <w:color w:val="000000"/>
                <w:kern w:val="0"/>
                <w:sz w:val="18"/>
                <w:szCs w:val="18"/>
                <w:u w:val="single"/>
                <w:lang w:val="en-US" w:eastAsia="zh-Hans" w:bidi="ar-SA"/>
              </w:rPr>
              <w:t>至2023年10月11日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2023年10月12日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“金鹿理财-普惠季享”7号开放式净值型银行理财计划风险揭示书》、《温州银行“金鹿理财-普惠季享”7号开放式净值型银行理财计划产品说明书》、《温州银行“金鹿理财-普惠季享”7号开放式净值型（第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期93天）银行理财计划开放认购（申购）申请书》和《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CpCJVk87PobShDp6pDcvEF5hKI=" w:salt="d5HE9A1U4iiw16EssqRpb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C460E18"/>
    <w:rsid w:val="3BEF0754"/>
    <w:rsid w:val="511E88BC"/>
    <w:rsid w:val="7F7EC3B3"/>
    <w:rsid w:val="BBDDF786"/>
    <w:rsid w:val="BCFA2747"/>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2023-06-30T06:37:46Z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