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普惠颐养”21026号开放式净值型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2023年7月7日至2023年7月13日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2025年7月9日</w:t>
            </w:r>
            <w:r>
              <w:rPr>
                <w:rFonts w:hint="eastAsia" w:ascii="宋体" w:hAnsi="宋体" w:eastAsia="宋体" w:cs="Times New Roman"/>
                <w:color w:val="000000"/>
                <w:kern w:val="0"/>
                <w:sz w:val="18"/>
                <w:szCs w:val="18"/>
                <w:u w:val="single"/>
                <w:lang w:val="en-US" w:eastAsia="zh-Hans" w:bidi="ar-SA"/>
              </w:rPr>
              <w:t>至2025年7月15日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21026号开放式净值型银行理财计划风险揭示书》、《温州银行“金鹿理财-普惠颐养”21026号开放式净值型银行理财计划产品说明书》、《温州银行“金鹿理财-普惠颐养”21026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satgYCEgwVSZ9vphqijzgXNF8I=" w:salt="KdzsqsFhuSEotKaKSZT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3DFB213F"/>
    <w:rsid w:val="511E88BC"/>
    <w:rsid w:val="7F7EC3B3"/>
    <w:rsid w:val="BBDDF786"/>
    <w:rsid w:val="E7EC35E9"/>
    <w:rsid w:val="EAFE2858"/>
    <w:rsid w:val="F7BF6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2023-06-30T06:39:27Z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