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温盈”19020号开放式净值型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19020号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2023年7月5日至2023年7月11日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2023年7月12日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2024年4月10日</w:t>
            </w:r>
            <w:r>
              <w:rPr>
                <w:rFonts w:hint="eastAsia" w:ascii="宋体" w:hAnsi="宋体" w:eastAsia="宋体" w:cs="Times New Roman"/>
                <w:color w:val="000000"/>
                <w:kern w:val="0"/>
                <w:sz w:val="18"/>
                <w:szCs w:val="18"/>
                <w:u w:val="single"/>
                <w:lang w:val="en-US" w:eastAsia="zh-Hans" w:bidi="ar-SA"/>
              </w:rPr>
              <w:t>至2024年4月16日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2024年4月17日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“金鹿理财-温盈”19020号开放式净值型银行理财计划风险揭示书》、《温州银行“金鹿理财-温盈”19020号开放式净值型银行理财计划产品说明书》、《温州银行“金鹿理财-温盈”19020号开放式净值型（第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HuPimfYwctnQlBvdvIhTDeIPouM=" w:salt="hJDfi56XS4TEhQl0DxYO4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48ED74EB"/>
    <w:rsid w:val="511E88BC"/>
    <w:rsid w:val="7F7E322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2023-06-30T06:37:46Z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