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温盈”19049号开放式净值型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第8期182天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19049号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8</w:t>
            </w:r>
            <w:r>
              <w:rPr>
                <w:rFonts w:hint="eastAsia" w:ascii="宋体" w:hAnsi="宋体" w:eastAsia="宋体" w:cs="宋体"/>
                <w:color w:val="000000"/>
                <w:kern w:val="0"/>
                <w:sz w:val="18"/>
                <w:szCs w:val="18"/>
                <w:lang w:val="en-US" w:eastAsia="zh-CN" w:bidi="ar-SA"/>
              </w:rPr>
              <w:t>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3.0%-3.7%</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2023年7月5日至2023年7月11日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2023年7月12日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2024年1月3日</w:t>
            </w:r>
            <w:r>
              <w:rPr>
                <w:rFonts w:hint="eastAsia" w:ascii="宋体" w:hAnsi="宋体" w:eastAsia="宋体" w:cs="Times New Roman"/>
                <w:color w:val="000000"/>
                <w:kern w:val="0"/>
                <w:sz w:val="18"/>
                <w:szCs w:val="18"/>
                <w:u w:val="single"/>
                <w:lang w:val="en-US" w:eastAsia="zh-Hans" w:bidi="ar-SA"/>
              </w:rPr>
              <w:t>至2024年1月9日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2024年1月10日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“金鹿理财-温盈”19049号开放式净值型银行理财计划风险揭示书》、《温州银行“金鹿理财-温盈”19049号开放式净值型银行理财计划产品说明书》、《温州银行“金鹿理财-温盈”19049号开放式净值型（第</w:t>
            </w:r>
            <w:r>
              <w:rPr>
                <w:rFonts w:hint="eastAsia" w:ascii="宋体" w:hAnsi="宋体" w:eastAsia="宋体"/>
                <w:color w:val="000000"/>
                <w:sz w:val="18"/>
                <w:szCs w:val="20"/>
                <w:lang w:val="en-US" w:eastAsia="zh-Hans"/>
              </w:rPr>
              <w:t>8</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dnSapiGXG2l6b9oOsG9DG3D55BY=" w:salt="Xgsn6ZwTMOSmpZf1WR0Li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5AFF5A8A"/>
    <w:rsid w:val="6221674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2023-06-30T06:37:47Z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