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23013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23013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 xml:space="preserve"> 39</w:t>
      </w:r>
      <w:r>
        <w:rPr>
          <w:szCs w:val="21"/>
          <w:u w:val="single"/>
        </w:rPr>
        <w:t>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23013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23013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hint="eastAsia"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hint="eastAsia"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23013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rFonts w:hint="eastAsia"/>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23013</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20955" r="0" b="0"/>
                <wp:docPr id="25"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oeA3j1wAAAAUBAAAPAAAAAAAAAAEAIAAAACIAAABkcnMvZG93bnJldi54bWxQSwECFAAU&#10;AAAACACHTuJAwDlwDiwEAAA+FgAADgAAAAAAAAABACAAAAAmAQAAZHJzL2Uyb0RvYy54bWxQSwUG&#10;AAAAAAYABgBZAQAAxA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23013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JW2313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color w:val="000000"/>
                <w:sz w:val="18"/>
                <w:szCs w:val="18"/>
              </w:rPr>
              <w:t>C1092223000019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rPr>
              <w:t>39</w:t>
            </w:r>
            <w:r>
              <w:rPr>
                <w:sz w:val="18"/>
                <w:szCs w:val="18"/>
                <w:u w:val="single"/>
              </w:rPr>
              <w:t>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2023年7月6日</w:t>
            </w:r>
            <w:r>
              <w:rPr>
                <w:rFonts w:hint="eastAsia"/>
                <w:sz w:val="18"/>
                <w:u w:val="single"/>
              </w:rPr>
              <w:t>至</w:t>
            </w:r>
            <w:r>
              <w:rPr>
                <w:rFonts w:hint="eastAsia"/>
                <w:color w:val="000000"/>
                <w:sz w:val="18"/>
                <w:u w:val="single"/>
              </w:rPr>
              <w:t>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rPr>
              <w:t>2023年7月13日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u w:val="single"/>
              </w:rPr>
              <w:t>2024年8月15日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sz w:val="18"/>
                <w:szCs w:val="18"/>
              </w:rPr>
              <w:t>3.</w:t>
            </w:r>
            <w:r>
              <w:rPr>
                <w:rFonts w:hint="eastAsia"/>
                <w:sz w:val="18"/>
                <w:szCs w:val="18"/>
              </w:rPr>
              <w:t>6</w:t>
            </w:r>
            <w:r>
              <w:rPr>
                <w:sz w:val="18"/>
                <w:szCs w:val="18"/>
              </w:rPr>
              <w:t>5%</w:t>
            </w:r>
            <w:r>
              <w:rPr>
                <w:rFonts w:hint="eastAsia"/>
                <w:sz w:val="18"/>
                <w:szCs w:val="18"/>
              </w:rPr>
              <w:t>（年化）</w:t>
            </w:r>
          </w:p>
          <w:p>
            <w:pPr>
              <w:adjustRightInd w:val="0"/>
              <w:snapToGrid w:val="0"/>
              <w:spacing w:line="288" w:lineRule="auto"/>
              <w:jc w:val="left"/>
              <w:rPr>
                <w:rFonts w:hint="eastAsia"/>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rFonts w:hint="eastAsia"/>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rFonts w:hint="eastAsia"/>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sz w:val="18"/>
          <w:szCs w:val="18"/>
        </w:rPr>
        <w:t>3.</w:t>
      </w:r>
      <w:r>
        <w:rPr>
          <w:rFonts w:hint="eastAsia"/>
          <w:sz w:val="18"/>
          <w:szCs w:val="18"/>
        </w:rPr>
        <w:t>6</w:t>
      </w:r>
      <w:r>
        <w:rPr>
          <w:sz w:val="18"/>
          <w:szCs w:val="18"/>
        </w:rPr>
        <w:t>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rPr>
        <w:t>2023年7月6日</w:t>
      </w:r>
      <w:r>
        <w:rPr>
          <w:rFonts w:hint="eastAsia"/>
          <w:sz w:val="18"/>
        </w:rPr>
        <w:t>至</w:t>
      </w:r>
      <w:r>
        <w:rPr>
          <w:rFonts w:hint="eastAsia"/>
          <w:color w:val="000000"/>
          <w:sz w:val="18"/>
        </w:rPr>
        <w:t>2023年7月12日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sz w:val="18"/>
          <w:szCs w:val="18"/>
        </w:rPr>
        <w:t>本产品预计到期终止日为</w:t>
      </w:r>
      <w:r>
        <w:rPr>
          <w:rFonts w:hint="eastAsia"/>
          <w:color w:val="000000"/>
          <w:sz w:val="18"/>
        </w:rPr>
        <w:t>2024年8月15日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sz w:val="18"/>
          <w:szCs w:val="18"/>
        </w:rPr>
        <w:t>9</w:t>
      </w:r>
      <w:r>
        <w:rPr>
          <w:rFonts w:hint="eastAsia"/>
          <w:sz w:val="18"/>
          <w:szCs w:val="18"/>
        </w:rPr>
        <w:t>天。假设产品业绩比较基准为</w:t>
      </w:r>
      <w:r>
        <w:rPr>
          <w:sz w:val="18"/>
          <w:szCs w:val="18"/>
        </w:rPr>
        <w:t>3.</w:t>
      </w:r>
      <w:r>
        <w:rPr>
          <w:rFonts w:hint="eastAsia"/>
          <w:sz w:val="18"/>
          <w:szCs w:val="18"/>
        </w:rPr>
        <w:t>6</w:t>
      </w:r>
      <w:r>
        <w:rPr>
          <w:sz w:val="18"/>
          <w:szCs w:val="18"/>
        </w:rPr>
        <w:t>5</w:t>
      </w:r>
      <w:r>
        <w:rPr>
          <w:rFonts w:hint="eastAsia"/>
          <w:sz w:val="18"/>
          <w:szCs w:val="18"/>
        </w:rPr>
        <w:t>%。到期时扣除托管费、销售服务费、固定管理费及其他费用（如有）后，如产品净值为1.042，此时， (1.042/1.00-1)×365/39</w:t>
      </w:r>
      <w:r>
        <w:rPr>
          <w:sz w:val="18"/>
          <w:szCs w:val="18"/>
        </w:rPr>
        <w:t>9</w:t>
      </w:r>
      <w:r>
        <w:rPr>
          <w:rFonts w:hint="eastAsia"/>
          <w:sz w:val="18"/>
          <w:szCs w:val="18"/>
        </w:rPr>
        <w:t>=3.84%&gt;</w:t>
      </w:r>
      <w:r>
        <w:rPr>
          <w:sz w:val="18"/>
          <w:szCs w:val="18"/>
        </w:rPr>
        <w:t>3.</w:t>
      </w:r>
      <w:r>
        <w:rPr>
          <w:rFonts w:hint="eastAsia"/>
          <w:sz w:val="18"/>
          <w:szCs w:val="18"/>
        </w:rPr>
        <w:t>6</w:t>
      </w:r>
      <w:r>
        <w:rPr>
          <w:sz w:val="18"/>
          <w:szCs w:val="18"/>
        </w:rPr>
        <w:t>5</w:t>
      </w:r>
      <w:r>
        <w:rPr>
          <w:rFonts w:hint="eastAsia"/>
          <w:sz w:val="18"/>
          <w:szCs w:val="18"/>
        </w:rPr>
        <w:t>%，即投资收益超越业绩比较基准，则投资管理人对超过业绩比较基准部分收益收取浮动管理费，浮动管理费为：1,000,000.00×[1.042-1.00×(1+</w:t>
      </w:r>
      <w:r>
        <w:rPr>
          <w:sz w:val="18"/>
          <w:szCs w:val="18"/>
        </w:rPr>
        <w:t>3.</w:t>
      </w:r>
      <w:r>
        <w:rPr>
          <w:rFonts w:hint="eastAsia"/>
          <w:sz w:val="18"/>
          <w:szCs w:val="18"/>
        </w:rPr>
        <w:t>6</w:t>
      </w:r>
      <w:r>
        <w:rPr>
          <w:sz w:val="18"/>
          <w:szCs w:val="18"/>
        </w:rPr>
        <w:t>5</w:t>
      </w:r>
      <w:r>
        <w:rPr>
          <w:rFonts w:hint="eastAsia"/>
          <w:sz w:val="18"/>
          <w:szCs w:val="18"/>
        </w:rPr>
        <w:t>%×39</w:t>
      </w:r>
      <w:r>
        <w:rPr>
          <w:sz w:val="18"/>
          <w:szCs w:val="18"/>
        </w:rPr>
        <w:t>9</w:t>
      </w:r>
      <w:r>
        <w:rPr>
          <w:rFonts w:hint="eastAsia"/>
          <w:sz w:val="18"/>
          <w:szCs w:val="18"/>
        </w:rPr>
        <w:t>/365)]×80%=1680（元）。扣除浮动管理费后，客户最终收益为：1,000,000.00×（1.042-1.00）-1680=40320（元），产品到期时，客户获得的实际收益相当于达到年化收益率水平为：40320/1,000,000.00×365/39</w:t>
      </w:r>
      <w:r>
        <w:rPr>
          <w:sz w:val="18"/>
          <w:szCs w:val="18"/>
        </w:rPr>
        <w:t>9</w:t>
      </w:r>
      <w:r>
        <w:rPr>
          <w:rFonts w:hint="eastAsia"/>
          <w:sz w:val="18"/>
          <w:szCs w:val="18"/>
        </w:rPr>
        <w:t>=</w:t>
      </w:r>
      <w:r>
        <w:rPr>
          <w:sz w:val="18"/>
          <w:szCs w:val="18"/>
        </w:rPr>
        <w:t>3.</w:t>
      </w:r>
      <w:r>
        <w:rPr>
          <w:rFonts w:hint="eastAsia"/>
          <w:sz w:val="18"/>
          <w:szCs w:val="18"/>
        </w:rPr>
        <w:t>6</w:t>
      </w:r>
      <w:r>
        <w:rPr>
          <w:sz w:val="18"/>
          <w:szCs w:val="18"/>
        </w:rPr>
        <w:t>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 39</w:t>
      </w:r>
      <w:r>
        <w:rPr>
          <w:sz w:val="18"/>
          <w:szCs w:val="18"/>
        </w:rPr>
        <w:t>9</w:t>
      </w:r>
      <w:r>
        <w:rPr>
          <w:rFonts w:hint="eastAsia"/>
          <w:sz w:val="18"/>
          <w:szCs w:val="18"/>
        </w:rPr>
        <w:t>天。假设产品业绩比较基准为</w:t>
      </w:r>
      <w:r>
        <w:rPr>
          <w:sz w:val="18"/>
          <w:szCs w:val="18"/>
        </w:rPr>
        <w:t>3.</w:t>
      </w:r>
      <w:r>
        <w:rPr>
          <w:rFonts w:hint="eastAsia"/>
          <w:sz w:val="18"/>
          <w:szCs w:val="18"/>
        </w:rPr>
        <w:t>6</w:t>
      </w:r>
      <w:r>
        <w:rPr>
          <w:sz w:val="18"/>
          <w:szCs w:val="18"/>
        </w:rPr>
        <w:t>5</w:t>
      </w:r>
      <w:r>
        <w:rPr>
          <w:rFonts w:hint="eastAsia"/>
          <w:sz w:val="18"/>
          <w:szCs w:val="18"/>
        </w:rPr>
        <w:t>%。到期时扣除托管费、销售服务费、固定管理费及其他费用（如有）后，如产品净值为1.039，此时，(1.039/1.00-1)×365/39</w:t>
      </w:r>
      <w:r>
        <w:rPr>
          <w:sz w:val="18"/>
          <w:szCs w:val="18"/>
        </w:rPr>
        <w:t>9</w:t>
      </w:r>
      <w:r>
        <w:rPr>
          <w:rFonts w:hint="eastAsia"/>
          <w:sz w:val="18"/>
          <w:szCs w:val="18"/>
        </w:rPr>
        <w:t>=3.5</w:t>
      </w:r>
      <w:r>
        <w:rPr>
          <w:sz w:val="18"/>
          <w:szCs w:val="18"/>
        </w:rPr>
        <w:t>7</w:t>
      </w:r>
      <w:r>
        <w:rPr>
          <w:rFonts w:hint="eastAsia"/>
          <w:sz w:val="18"/>
          <w:szCs w:val="18"/>
        </w:rPr>
        <w:t>%&lt;</w:t>
      </w:r>
      <w:r>
        <w:rPr>
          <w:sz w:val="18"/>
          <w:szCs w:val="18"/>
        </w:rPr>
        <w:t>3.</w:t>
      </w:r>
      <w:r>
        <w:rPr>
          <w:rFonts w:hint="eastAsia"/>
          <w:sz w:val="18"/>
          <w:szCs w:val="18"/>
        </w:rPr>
        <w:t>6</w:t>
      </w:r>
      <w:r>
        <w:rPr>
          <w:sz w:val="18"/>
          <w:szCs w:val="18"/>
        </w:rPr>
        <w:t>5</w:t>
      </w:r>
      <w:r>
        <w:rPr>
          <w:rFonts w:hint="eastAsia"/>
          <w:sz w:val="18"/>
          <w:szCs w:val="18"/>
        </w:rPr>
        <w:t>%，即投资收益未达到业绩比较基准，则投资管理人不收取浮动管理费，客户最终收益为：1,000,000.00×(1.039-1.00）=39000（元）。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sz w:val="18"/>
          <w:szCs w:val="18"/>
        </w:rPr>
        <w:t>9</w:t>
      </w:r>
      <w:r>
        <w:rPr>
          <w:rFonts w:hint="eastAsia"/>
          <w:sz w:val="18"/>
          <w:szCs w:val="18"/>
        </w:rPr>
        <w:t>天。假设产品业绩比较基准为3</w:t>
      </w:r>
      <w:r>
        <w:rPr>
          <w:sz w:val="18"/>
          <w:szCs w:val="18"/>
        </w:rPr>
        <w:t>.</w:t>
      </w:r>
      <w:r>
        <w:rPr>
          <w:rFonts w:hint="eastAsia"/>
          <w:sz w:val="18"/>
          <w:szCs w:val="18"/>
        </w:rPr>
        <w:t>6</w:t>
      </w:r>
      <w:r>
        <w:rPr>
          <w:sz w:val="18"/>
          <w:szCs w:val="18"/>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rFonts w:hint="eastAsia"/>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hint="eastAsia"/>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23013</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int="eastAsia"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dit="readOnly" w:enforcement="1" w:cryptProviderType="rsaFull" w:cryptAlgorithmClass="hash" w:cryptAlgorithmType="typeAny" w:cryptAlgorithmSid="4" w:cryptSpinCount="0" w:hash="+nSdFnykP7C+8q4Qy8Lbp8DXx2o=" w:salt="+x4NbrXVaE1nryt7Aqa8R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5E2"/>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66CF2"/>
    <w:rsid w:val="0078088F"/>
    <w:rsid w:val="007828DA"/>
    <w:rsid w:val="007918BA"/>
    <w:rsid w:val="00795498"/>
    <w:rsid w:val="007A7805"/>
    <w:rsid w:val="00832709"/>
    <w:rsid w:val="00836614"/>
    <w:rsid w:val="00866A5E"/>
    <w:rsid w:val="008A1FA8"/>
    <w:rsid w:val="009115E2"/>
    <w:rsid w:val="009E3776"/>
    <w:rsid w:val="009E5DE6"/>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EE5DDB"/>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C90772"/>
    <w:rsid w:val="104F44D5"/>
    <w:rsid w:val="10B17669"/>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9552C67"/>
    <w:rsid w:val="39766FF2"/>
    <w:rsid w:val="3A9532FB"/>
    <w:rsid w:val="3BBF210A"/>
    <w:rsid w:val="3C0741A4"/>
    <w:rsid w:val="3D150741"/>
    <w:rsid w:val="3E2566A4"/>
    <w:rsid w:val="3F7E5351"/>
    <w:rsid w:val="3FBD214F"/>
    <w:rsid w:val="4146226E"/>
    <w:rsid w:val="43712A5A"/>
    <w:rsid w:val="4409550D"/>
    <w:rsid w:val="462B298E"/>
    <w:rsid w:val="489032CB"/>
    <w:rsid w:val="4EFE40C2"/>
    <w:rsid w:val="54133033"/>
    <w:rsid w:val="546F0E0A"/>
    <w:rsid w:val="56865A7D"/>
    <w:rsid w:val="56AB5155"/>
    <w:rsid w:val="57313966"/>
    <w:rsid w:val="58A26889"/>
    <w:rsid w:val="5A6C6059"/>
    <w:rsid w:val="5AC90CB7"/>
    <w:rsid w:val="5D0B2C53"/>
    <w:rsid w:val="5DD76B10"/>
    <w:rsid w:val="5E014390"/>
    <w:rsid w:val="5F4A6202"/>
    <w:rsid w:val="61E21802"/>
    <w:rsid w:val="623D1E92"/>
    <w:rsid w:val="627B657A"/>
    <w:rsid w:val="6522045B"/>
    <w:rsid w:val="67DC31E6"/>
    <w:rsid w:val="68785140"/>
    <w:rsid w:val="693E0188"/>
    <w:rsid w:val="699C4EA7"/>
    <w:rsid w:val="6D15771F"/>
    <w:rsid w:val="76592994"/>
    <w:rsid w:val="780A54E7"/>
    <w:rsid w:val="79632EC7"/>
    <w:rsid w:val="7AFF2EFC"/>
    <w:rsid w:val="7E4B18D2"/>
    <w:rsid w:val="7E5E7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1"/>
    <w:unhideWhenUsed/>
    <w:uiPriority w:val="99"/>
    <w:pPr>
      <w:jc w:val="left"/>
    </w:pPr>
  </w:style>
  <w:style w:type="paragraph" w:styleId="3">
    <w:name w:val="Plain Text"/>
    <w:basedOn w:val="1"/>
    <w:link w:val="10"/>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uiPriority w:val="99"/>
    <w:rPr>
      <w:rFonts w:ascii="宋体" w:hAnsi="Courier New" w:eastAsia="宋体" w:cs="Courier New"/>
      <w:szCs w:val="21"/>
    </w:rPr>
  </w:style>
  <w:style w:type="character" w:customStyle="1" w:styleId="11">
    <w:name w:val="批注文字 字符"/>
    <w:link w:val="2"/>
    <w:uiPriority w:val="99"/>
    <w:rPr>
      <w:rFonts w:ascii="Times New Roman" w:hAnsi="Times New Roman"/>
      <w:kern w:val="2"/>
      <w:sz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character" w:customStyle="1" w:styleId="14">
    <w:name w:val="批注框文本 字符"/>
    <w:link w:val="4"/>
    <w:semiHidden/>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1956</Words>
  <Characters>11155</Characters>
  <Lines>92</Lines>
  <Paragraphs>26</Paragraphs>
  <TotalTime>1</TotalTime>
  <ScaleCrop>false</ScaleCrop>
  <LinksUpToDate>false</LinksUpToDate>
  <CharactersWithSpaces>13085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2023-06-30T02:44:00Z</dcterms:created>
  <dc:creator>陈浩</dc:creator>
  <cp:lastModifiedBy>应心茹</cp:lastModifiedBy>
  <dcterms:modified xsi:type="dcterms:W3CDTF">2023-06-30T06:44:05Z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