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“金鹿理财-温盈”19049号开放式净值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19049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19049号开放式净值型银行理财计划产品说明书》、《温州银行“金鹿理财-温盈”19049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温盈”19049号开放式净值型银行理财计划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C1092219000475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2020年1月2日至2020年1月7日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《温州银行“金鹿理财-温盈”19049号开放式净值型（第i期）银行理财计划开放认购（申购）申请书》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《温州银行“金鹿理财-温盈”19049号开放式净值型（第i期）银行理财计划开放认购（申购）申请书》。投资运作周期到期时，该周期内的资金收益情况根据所投资资产组合的实际运作情况确定。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：本理财计划成立日为2020年1月8日，从成立日起，每</w:t>
      </w:r>
      <w:r>
        <w:rPr>
          <w:rFonts w:ascii="宋体" w:hAnsi="宋体"/>
          <w:sz w:val="18"/>
        </w:rPr>
        <w:t>【</w:t>
      </w:r>
      <w:r>
        <w:rPr>
          <w:rFonts w:hint="eastAsia" w:ascii="宋体" w:hAnsi="宋体"/>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19049号开放式净值型银行理财计划风险揭示书》、《温州银行“金鹿理财”银行理财计划合约》、《温州银行“金鹿理财-温盈”19049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tFMBbTYhpVi1+f019DKeYb14Rc=" w:salt="WA9U7MIRdXJSCiHKmMhAB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B3F56"/>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2023-06-30T07:07:50Z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