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普惠季享”8号开放式净值型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第9期91天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8号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JX0008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9</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2.9%-3.5%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2023年7月11日至2023年7月17日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2023年7月18日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2023年10月12日</w:t>
            </w:r>
            <w:r>
              <w:rPr>
                <w:rFonts w:hint="eastAsia" w:ascii="宋体" w:hAnsi="宋体" w:eastAsia="宋体" w:cs="Times New Roman"/>
                <w:color w:val="000000"/>
                <w:kern w:val="0"/>
                <w:sz w:val="18"/>
                <w:szCs w:val="18"/>
                <w:u w:val="single"/>
                <w:lang w:val="en-US" w:eastAsia="zh-Hans" w:bidi="ar-SA"/>
              </w:rPr>
              <w:t>至2023年10月16日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2023年10月17日</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“金鹿理财-普惠季享”8号开放式净值型银行理财计划风险揭示书》、《温州银行“金鹿理财-普惠季享”8号开放式净值型银行理财计划产品说明书》、《温州银行“金鹿理财-普惠季享”8号开放式净值型（第</w:t>
            </w:r>
            <w:r>
              <w:rPr>
                <w:rFonts w:hint="eastAsia" w:ascii="宋体" w:hAnsi="宋体" w:eastAsia="宋体"/>
                <w:color w:val="000000"/>
                <w:sz w:val="18"/>
                <w:szCs w:val="20"/>
                <w:lang w:val="en-US" w:eastAsia="zh-Hans"/>
              </w:rPr>
              <w:t>9</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uLR/Y/UxF8NWGZE+3JXwOMZx/9U=" w:salt="pC33sPMT8M48BzM2cqAQQ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74003A07"/>
    <w:rsid w:val="7F7EC3B3"/>
    <w:rsid w:val="BBDDF786"/>
    <w:rsid w:val="BF96C3A1"/>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等线" w:hAnsi="等线" w:eastAsia="等线"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2</TotalTime>
  <ScaleCrop>false</ScaleCrop>
  <LinksUpToDate>false</LinksUpToDate>
  <CharactersWithSpaces>1336</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2023-07-07T06:57:24Z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y fmtid="{D5CDD505-2E9C-101B-9397-08002B2CF9AE}" pid="3" name="ICV">
    <vt:lpwstr>25583616BC744B882FE34564950C2AAA_42</vt:lpwstr>
  </property>
</Properties>
</file>