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第30期28天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30</w:t>
            </w:r>
            <w:r>
              <w:rPr>
                <w:rFonts w:hint="eastAsia" w:ascii="宋体" w:hAnsi="宋体" w:eastAsia="宋体" w:cs="宋体"/>
                <w:color w:val="000000"/>
                <w:kern w:val="0"/>
                <w:sz w:val="18"/>
                <w:szCs w:val="18"/>
                <w:lang w:val="en-US" w:eastAsia="zh-CN" w:bidi="ar-SA"/>
              </w:rPr>
              <w:t>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2023年7月13日至2023年7月19日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2023年8月10日</w:t>
            </w:r>
            <w:r>
              <w:rPr>
                <w:rFonts w:hint="eastAsia" w:ascii="宋体" w:hAnsi="宋体" w:eastAsia="宋体" w:cs="Times New Roman"/>
                <w:color w:val="000000"/>
                <w:kern w:val="0"/>
                <w:sz w:val="18"/>
                <w:szCs w:val="18"/>
                <w:u w:val="single"/>
                <w:lang w:val="en-US" w:eastAsia="zh-Hans" w:bidi="ar-SA"/>
              </w:rPr>
              <w:t>至2023年8月16日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2023年8月17日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“金鹿理财-普惠月享”1号开放式净值型银行理财计划风险揭示书》、《温州银行“金鹿理财-普惠月享”1号开放式净值型银行理财计划产品说明书》、《温州银行“金鹿理财-普惠月享”1号开放式净值型（第</w:t>
            </w:r>
            <w:r>
              <w:rPr>
                <w:rFonts w:hint="eastAsia" w:ascii="宋体" w:hAnsi="宋体" w:eastAsia="宋体"/>
                <w:color w:val="000000"/>
                <w:sz w:val="18"/>
                <w:szCs w:val="20"/>
                <w:lang w:val="en-US" w:eastAsia="zh-Hans"/>
              </w:rPr>
              <w:t>30</w:t>
            </w:r>
            <w:r>
              <w:rPr>
                <w:rFonts w:hint="eastAsia" w:ascii="宋体" w:hAnsi="宋体" w:eastAsia="宋体"/>
                <w:color w:val="000000"/>
                <w:sz w:val="18"/>
                <w:szCs w:val="20"/>
              </w:rPr>
              <w:t>期28天）银行理财计划开放认购（申购）申请书》和《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9CTN6PEwSBtufwypgro7unhoRAg=" w:salt="YOgTT+9kEwr9fHHWY2D3m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4BFD1EC"/>
    <w:rsid w:val="511E88BC"/>
    <w:rsid w:val="63295FCD"/>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2023-07-07T06:57:21Z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