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温盈”19022号开放式净值型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19022号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2023年7月12日至2023年7月18日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2024年4月17日</w:t>
            </w:r>
            <w:r>
              <w:rPr>
                <w:rFonts w:hint="eastAsia" w:ascii="宋体" w:hAnsi="宋体" w:eastAsia="宋体" w:cs="Times New Roman"/>
                <w:color w:val="000000"/>
                <w:kern w:val="0"/>
                <w:sz w:val="18"/>
                <w:szCs w:val="18"/>
                <w:u w:val="single"/>
                <w:lang w:val="en-US" w:eastAsia="zh-Hans" w:bidi="ar-SA"/>
              </w:rPr>
              <w:t>至2024年4月23日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“金鹿理财-温盈”19022号开放式净值型银行理财计划风险揭示书》、《温州银行“金鹿理财-温盈”19022号开放式净值型银行理财计划产品说明书》、《温州银行“金鹿理财-温盈”19022号开放式净值型（第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rvzg9gvX1K9c+Dd+VeKf9B/IJ0=" w:salt="XbStaIoayNwww+Xh1wSZ3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3DB5367"/>
    <w:rsid w:val="3BEF0754"/>
    <w:rsid w:val="511E88BC"/>
    <w:rsid w:val="67A1D4FD"/>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2023-07-07T06:57:23Z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